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7F8DC4" w14:textId="4073CA7D" w:rsidR="007C56DA" w:rsidRPr="00110B18" w:rsidRDefault="007C56DA" w:rsidP="007C56DA">
      <w:pPr>
        <w:pStyle w:val="Titolo"/>
        <w:rPr>
          <w:sz w:val="44"/>
          <w:szCs w:val="44"/>
        </w:rPr>
      </w:pPr>
      <w:r w:rsidRPr="00110B18">
        <w:rPr>
          <w:sz w:val="44"/>
          <w:szCs w:val="44"/>
        </w:rPr>
        <w:t>La regolazione indipendente e la gestione dei rifiuti urbani</w:t>
      </w:r>
      <w:r w:rsidR="005765D4">
        <w:rPr>
          <w:sz w:val="44"/>
          <w:szCs w:val="44"/>
        </w:rPr>
        <w:t xml:space="preserve"> nell’economia circolare</w:t>
      </w:r>
      <w:r w:rsidRPr="00110B18">
        <w:rPr>
          <w:sz w:val="44"/>
          <w:szCs w:val="44"/>
        </w:rPr>
        <w:t>: un primo bilancio dell’esperienza di ARERA in Italia</w:t>
      </w:r>
      <w:r w:rsidR="002D7632">
        <w:rPr>
          <w:rStyle w:val="Rimandonotaapidipagina"/>
          <w:sz w:val="44"/>
          <w:szCs w:val="44"/>
        </w:rPr>
        <w:footnoteReference w:id="1"/>
      </w:r>
    </w:p>
    <w:p w14:paraId="5F272AB2" w14:textId="77777777" w:rsidR="007C56DA" w:rsidRDefault="007C56DA" w:rsidP="007C56DA"/>
    <w:p w14:paraId="096E58DF" w14:textId="7D55C9AF" w:rsidR="007C56DA" w:rsidRDefault="007C56DA" w:rsidP="007C56DA">
      <w:r>
        <w:t>Antonio Massarutto</w:t>
      </w:r>
    </w:p>
    <w:p w14:paraId="0052939A" w14:textId="77777777" w:rsidR="007C56DA" w:rsidRDefault="007C56DA" w:rsidP="007C56DA">
      <w:pPr>
        <w:spacing w:after="0" w:line="240" w:lineRule="auto"/>
        <w:jc w:val="left"/>
      </w:pPr>
      <w:r>
        <w:t>DIES, Università di Udine</w:t>
      </w:r>
    </w:p>
    <w:p w14:paraId="297BC87F" w14:textId="77777777" w:rsidR="007C56DA" w:rsidRDefault="007C56DA" w:rsidP="007C56DA">
      <w:pPr>
        <w:spacing w:after="0" w:line="240" w:lineRule="auto"/>
        <w:jc w:val="left"/>
      </w:pPr>
    </w:p>
    <w:p w14:paraId="5DDCCF4D" w14:textId="4C0A3616" w:rsidR="007C56DA" w:rsidRDefault="007C56DA" w:rsidP="007C56DA">
      <w:pPr>
        <w:pStyle w:val="Titolo5"/>
      </w:pPr>
      <w:r>
        <w:t>Abstract</w:t>
      </w:r>
    </w:p>
    <w:p w14:paraId="3EC9CE79" w14:textId="3C1F90B3" w:rsidR="007C56DA" w:rsidRDefault="007C56DA" w:rsidP="007C56DA">
      <w:r>
        <w:t>L’Italia ha scelto di affidare la regolazione economica del servizio di gestione dei rifiuti urbani (SGRU) a un’Autorità indipendente (ARERA), che ha competenza in modo particolare sulla determinazione dei corrispettivi spettanti ai gestori delle diverse fasi di cui il servizio si compone. In questo articolo si discutono le ragioni di questa scelta, che l’autore riconduce ai fallimenti di mercato conseguenti all’evoluzione del regime istituzionale, da un modello di “economia lineare” a uno di “economia circolare”. L’emergere di evidenti situazioni di potere di mercato si accompagna con l’esigenza di garantire l’equilibrio economico-finanziario ai soggetti gravati di obblighi di servizio pubblico, che in questo settore discendono dalla volontà politica di affermare obiettivi sfidanti e tra loro in potenziale conflitto. L’articolo esamina poi l’esperienza maturata sin qui dalla regolazione ARERA, valutando i risultati raggiunti e alcune criticità.</w:t>
      </w:r>
    </w:p>
    <w:p w14:paraId="39B333C5" w14:textId="3871EB9E" w:rsidR="007C56DA" w:rsidRDefault="007C56DA" w:rsidP="007C56DA">
      <w:pPr>
        <w:shd w:val="clear" w:color="auto" w:fill="FDFDFD"/>
        <w:spacing w:after="0" w:line="240" w:lineRule="auto"/>
        <w:jc w:val="left"/>
        <w:rPr>
          <w:rFonts w:ascii="Segoe UI" w:eastAsia="Times New Roman" w:hAnsi="Segoe UI" w:cs="Segoe UI"/>
          <w:sz w:val="21"/>
          <w:szCs w:val="21"/>
          <w:lang w:val="en" w:eastAsia="it-IT"/>
        </w:rPr>
      </w:pPr>
      <w:r w:rsidRPr="007C56DA">
        <w:rPr>
          <w:rFonts w:ascii="Segoe UI" w:eastAsia="Times New Roman" w:hAnsi="Segoe UI" w:cs="Segoe UI"/>
          <w:sz w:val="21"/>
          <w:szCs w:val="21"/>
          <w:lang w:val="en" w:eastAsia="it-IT"/>
        </w:rPr>
        <w:t xml:space="preserve">Italy has chosen to entrust the economic regulation of the municipal waste management service (SGRU) to an independent authority (ARERA), which has particular competence in determining the fees due to the operators of the various phases </w:t>
      </w:r>
      <w:r w:rsidR="00EA70EB">
        <w:rPr>
          <w:rFonts w:ascii="Segoe UI" w:eastAsia="Times New Roman" w:hAnsi="Segoe UI" w:cs="Segoe UI"/>
          <w:sz w:val="21"/>
          <w:szCs w:val="21"/>
          <w:lang w:val="en" w:eastAsia="it-IT"/>
        </w:rPr>
        <w:t>that comprise the service</w:t>
      </w:r>
      <w:r w:rsidRPr="007C56DA">
        <w:rPr>
          <w:rFonts w:ascii="Segoe UI" w:eastAsia="Times New Roman" w:hAnsi="Segoe UI" w:cs="Segoe UI"/>
          <w:sz w:val="21"/>
          <w:szCs w:val="21"/>
          <w:lang w:val="en" w:eastAsia="it-IT"/>
        </w:rPr>
        <w:t xml:space="preserve">. This article discusses the reasons for this choice, which the author traces back to the market failures resulting from the evolution of the institutional regime, from a "linear economy" model to a "circular economy" one. The emergence of evident situations of market power is accompanied by the need to guarantee the economic and financial balance of the subjects burdened with public service obligations, which </w:t>
      </w:r>
      <w:r w:rsidR="00EA70EB">
        <w:rPr>
          <w:rFonts w:ascii="Segoe UI" w:eastAsia="Times New Roman" w:hAnsi="Segoe UI" w:cs="Segoe UI"/>
          <w:sz w:val="21"/>
          <w:szCs w:val="21"/>
          <w:lang w:val="en" w:eastAsia="it-IT"/>
        </w:rPr>
        <w:t>here</w:t>
      </w:r>
      <w:r w:rsidRPr="007C56DA">
        <w:rPr>
          <w:rFonts w:ascii="Segoe UI" w:eastAsia="Times New Roman" w:hAnsi="Segoe UI" w:cs="Segoe UI"/>
          <w:sz w:val="21"/>
          <w:szCs w:val="21"/>
          <w:lang w:val="en" w:eastAsia="it-IT"/>
        </w:rPr>
        <w:t xml:space="preserve"> derive from the political will to affirm challenging objectives that are potentially in conflict with each other. The article then examines the experience gained so far by the ARERA regulation, evaluating the results achieved and some critical issues.</w:t>
      </w:r>
    </w:p>
    <w:p w14:paraId="0568E1E5" w14:textId="23AECB56" w:rsidR="00EA70EB" w:rsidRDefault="00EA70EB" w:rsidP="007C56DA">
      <w:pPr>
        <w:shd w:val="clear" w:color="auto" w:fill="FDFDFD"/>
        <w:spacing w:after="0" w:line="240" w:lineRule="auto"/>
        <w:jc w:val="left"/>
        <w:rPr>
          <w:rFonts w:ascii="Segoe UI" w:eastAsia="Times New Roman" w:hAnsi="Segoe UI" w:cs="Segoe UI"/>
          <w:sz w:val="21"/>
          <w:szCs w:val="21"/>
          <w:lang w:val="en" w:eastAsia="it-IT"/>
        </w:rPr>
      </w:pPr>
    </w:p>
    <w:p w14:paraId="5C2D6B7C" w14:textId="09F0A2AF" w:rsidR="00EC197C" w:rsidRDefault="00EC197C" w:rsidP="00EA70EB">
      <w:pPr>
        <w:pStyle w:val="Titolo5"/>
        <w:rPr>
          <w:rFonts w:eastAsia="Times New Roman"/>
          <w:lang w:val="en" w:eastAsia="it-IT"/>
        </w:rPr>
      </w:pPr>
      <w:r>
        <w:rPr>
          <w:rFonts w:eastAsia="Times New Roman"/>
          <w:lang w:val="en" w:eastAsia="it-IT"/>
        </w:rPr>
        <w:t>Keywords:</w:t>
      </w:r>
    </w:p>
    <w:p w14:paraId="6F9DC88C" w14:textId="592538C7" w:rsidR="00EC197C" w:rsidRDefault="00EC197C" w:rsidP="00EC197C">
      <w:pPr>
        <w:rPr>
          <w:lang w:val="en" w:eastAsia="it-IT"/>
        </w:rPr>
      </w:pPr>
      <w:r>
        <w:rPr>
          <w:lang w:val="en" w:eastAsia="it-IT"/>
        </w:rPr>
        <w:t xml:space="preserve">Economic regulation; Municipal waste management; </w:t>
      </w:r>
      <w:r w:rsidR="005765D4">
        <w:rPr>
          <w:lang w:val="en" w:eastAsia="it-IT"/>
        </w:rPr>
        <w:t>Circular economy</w:t>
      </w:r>
    </w:p>
    <w:p w14:paraId="55DDB50B" w14:textId="71208CCC" w:rsidR="00EC197C" w:rsidRPr="00E253BE" w:rsidRDefault="00EC197C" w:rsidP="00EC197C">
      <w:pPr>
        <w:rPr>
          <w:lang w:eastAsia="it-IT"/>
        </w:rPr>
      </w:pPr>
      <w:r w:rsidRPr="00E253BE">
        <w:rPr>
          <w:lang w:eastAsia="it-IT"/>
        </w:rPr>
        <w:t>JEL: K23; K32; L43; L99</w:t>
      </w:r>
    </w:p>
    <w:p w14:paraId="03BB5E1D" w14:textId="5D4FDF11" w:rsidR="00EA70EB" w:rsidRPr="00EC197C" w:rsidRDefault="00EA70EB" w:rsidP="00EA70EB">
      <w:pPr>
        <w:pStyle w:val="Titolo5"/>
        <w:rPr>
          <w:rFonts w:eastAsia="Times New Roman"/>
          <w:lang w:eastAsia="it-IT"/>
        </w:rPr>
      </w:pPr>
      <w:r w:rsidRPr="00EC197C">
        <w:rPr>
          <w:rFonts w:eastAsia="Times New Roman"/>
          <w:lang w:eastAsia="it-IT"/>
        </w:rPr>
        <w:t>Note biografiche dell’autore</w:t>
      </w:r>
    </w:p>
    <w:p w14:paraId="30C485CE" w14:textId="2CF11C36" w:rsidR="007C56DA" w:rsidRPr="00EA70EB" w:rsidRDefault="00EA70EB" w:rsidP="005765D4">
      <w:pPr>
        <w:rPr>
          <w:rFonts w:ascii="Calibri Light" w:eastAsia="Times New Roman" w:hAnsi="Calibri Light"/>
          <w:spacing w:val="-10"/>
          <w:kern w:val="28"/>
          <w:sz w:val="44"/>
          <w:szCs w:val="44"/>
        </w:rPr>
      </w:pPr>
      <w:r w:rsidRPr="00EA70EB">
        <w:rPr>
          <w:lang w:eastAsia="it-IT"/>
        </w:rPr>
        <w:t>Antonio Massarutto insegna Scienza de</w:t>
      </w:r>
      <w:r>
        <w:rPr>
          <w:lang w:eastAsia="it-IT"/>
        </w:rPr>
        <w:t xml:space="preserve">lle Finanze all’Università di Udine. </w:t>
      </w:r>
      <w:proofErr w:type="gramStart"/>
      <w:r>
        <w:rPr>
          <w:lang w:eastAsia="it-IT"/>
        </w:rPr>
        <w:t>E’</w:t>
      </w:r>
      <w:proofErr w:type="gramEnd"/>
      <w:r>
        <w:rPr>
          <w:lang w:eastAsia="it-IT"/>
        </w:rPr>
        <w:t xml:space="preserve"> fellow di centri di ricerca nel campo dell’economia dell’ambiente e dell’economia industriale, quali GREEN, SEEDS e CIMET Nella sua attività di ricerca si è dedicato in modo particolare all’analisi delle interazioni tra regolazione ambientale ed economica nei servizi pubblici locali, alla valutazione economica delle politiche ambientale, all’organizzazione industriale delle utilities ambientali ed energetiche.</w:t>
      </w:r>
      <w:r w:rsidR="007C56DA" w:rsidRPr="00EA70EB">
        <w:rPr>
          <w:sz w:val="44"/>
          <w:szCs w:val="44"/>
        </w:rPr>
        <w:br w:type="page"/>
      </w:r>
    </w:p>
    <w:p w14:paraId="68F1C856" w14:textId="3F51E81B" w:rsidR="008C5121" w:rsidRPr="00110B18" w:rsidRDefault="009B15B8" w:rsidP="005A6D1B">
      <w:pPr>
        <w:pStyle w:val="Titolo"/>
        <w:rPr>
          <w:sz w:val="44"/>
          <w:szCs w:val="44"/>
        </w:rPr>
      </w:pPr>
      <w:r w:rsidRPr="00110B18">
        <w:rPr>
          <w:sz w:val="44"/>
          <w:szCs w:val="44"/>
        </w:rPr>
        <w:lastRenderedPageBreak/>
        <w:t>La regolazione indipendente e la gestione dei rifiuti urbani</w:t>
      </w:r>
      <w:r w:rsidR="005765D4">
        <w:rPr>
          <w:sz w:val="44"/>
          <w:szCs w:val="44"/>
        </w:rPr>
        <w:t xml:space="preserve"> nell’economia circolare</w:t>
      </w:r>
      <w:r w:rsidRPr="00110B18">
        <w:rPr>
          <w:sz w:val="44"/>
          <w:szCs w:val="44"/>
        </w:rPr>
        <w:t>: un primo bilancio dell’esperienza di ARERA in Italia</w:t>
      </w:r>
      <w:r w:rsidR="008437A8">
        <w:rPr>
          <w:rStyle w:val="Rimandonotaapidipagina"/>
          <w:sz w:val="44"/>
          <w:szCs w:val="44"/>
        </w:rPr>
        <w:footnoteReference w:id="2"/>
      </w:r>
    </w:p>
    <w:p w14:paraId="1E9F73EB" w14:textId="77777777" w:rsidR="00E9616D" w:rsidRDefault="00E9616D" w:rsidP="005A6D1B">
      <w:r>
        <w:t>Antonio Massarutto</w:t>
      </w:r>
    </w:p>
    <w:p w14:paraId="662ECEB1" w14:textId="77777777" w:rsidR="00E9616D" w:rsidRDefault="00E9616D" w:rsidP="005A6D1B">
      <w:r>
        <w:t>DIES, Università di Udine</w:t>
      </w:r>
    </w:p>
    <w:p w14:paraId="4F97A528" w14:textId="6F5D753A" w:rsidR="00E9616D" w:rsidRDefault="00C94EF8" w:rsidP="000419E4">
      <w:pPr>
        <w:pStyle w:val="Titolo2"/>
      </w:pPr>
      <w:r>
        <w:t xml:space="preserve">ARERA e la </w:t>
      </w:r>
      <w:r w:rsidRPr="000419E4">
        <w:t>gestione</w:t>
      </w:r>
      <w:r>
        <w:t xml:space="preserve"> integrata dei rifiuti urbani</w:t>
      </w:r>
    </w:p>
    <w:p w14:paraId="7A1BFF36" w14:textId="6724F203" w:rsidR="009C35C9" w:rsidRDefault="007B6CAC" w:rsidP="009C35C9">
      <w:r>
        <w:t>La</w:t>
      </w:r>
      <w:r w:rsidR="009C35C9">
        <w:t xml:space="preserve"> l. 205/2017 ha attribuito le competenze per la regolazione economica e tariffaria dei servizi di gestione dei rifiuti urbani (SGRU) all’Autorità indipendente che dal 1995 è competente per energia elettrica e gas, e negli anni successivi ha allargato le sue competenze al settore idrico (2011) e al teleriscaldamento (2014), oggi denominata “Autorità di </w:t>
      </w:r>
      <w:proofErr w:type="spellStart"/>
      <w:r w:rsidR="009C35C9">
        <w:t>regolazone</w:t>
      </w:r>
      <w:proofErr w:type="spellEnd"/>
      <w:r w:rsidR="009C35C9">
        <w:t xml:space="preserve"> per energia, reti e ambiente” (ARERA). </w:t>
      </w:r>
    </w:p>
    <w:p w14:paraId="1F1AA6AB" w14:textId="63A9DEB9" w:rsidR="009C35C9" w:rsidRDefault="009C35C9" w:rsidP="009C35C9">
      <w:r>
        <w:t>Se nei settori energetici e in quello idrico la competenza di ARERA non è mai stata seriamente messa in discussione, ottenendo anzi consensi assai ampi se non proprio unanimi, non altrettanto si può dire della gestione dei RU</w:t>
      </w:r>
      <w:r w:rsidR="00F13B88">
        <w:t xml:space="preserve">, dove invece </w:t>
      </w:r>
      <w:r w:rsidR="00345A0D">
        <w:t>questo passaggio di competenze</w:t>
      </w:r>
      <w:r w:rsidR="00F13B88">
        <w:t xml:space="preserve"> ha sollevato </w:t>
      </w:r>
      <w:r w:rsidR="00972662">
        <w:t>obiezioni di diverso genere, sia legate al possibile conflitto di potere con altre amministrazioni, sia alla legittimazione ad intervenire in un settore potenzialmente aperto alla concorrenza nel e per il mercato</w:t>
      </w:r>
      <w:r>
        <w:t>.</w:t>
      </w:r>
    </w:p>
    <w:p w14:paraId="5C789EE6" w14:textId="77C4B9F2" w:rsidR="009C35C9" w:rsidRDefault="009C35C9" w:rsidP="009C35C9">
      <w:r>
        <w:t>Recenti sentenze del giudice amministrativo, sollecitate da alcuni operatori del settore, hanno più volte contestato la legittimazione di ARERA a disciplinare le tariffe di accesso agli impianti, o messo in discussione la logica dei sistemi di incentivazione applicati ai gestori del servizio pubblico (ad esempio, in tema di preparazione per il riciclo dei materiali plastici). Si è giunti perfino alla presentazione di proposte di legge tese a sottrarre ad ARERA buona parte delle competenze, ritornando in pratica al quadro precedente il 2017 (</w:t>
      </w:r>
      <w:r w:rsidR="00955651">
        <w:t>Senato della Repubblica, 2025</w:t>
      </w:r>
      <w:r>
        <w:t>).</w:t>
      </w:r>
    </w:p>
    <w:p w14:paraId="229C21AB" w14:textId="2EE5B4DD" w:rsidR="00792C5A" w:rsidRDefault="00302290" w:rsidP="00644EDE">
      <w:r>
        <w:t xml:space="preserve">Che </w:t>
      </w:r>
      <w:r w:rsidR="007B5DA6">
        <w:t xml:space="preserve">un modello </w:t>
      </w:r>
      <w:r w:rsidR="00D725B0">
        <w:t xml:space="preserve">di regolazione imperniato su un’autorità indipendente </w:t>
      </w:r>
      <w:r w:rsidR="007B5DA6">
        <w:t>sia richiesto per il caso del</w:t>
      </w:r>
      <w:r>
        <w:t>l</w:t>
      </w:r>
      <w:r w:rsidR="002D74D3">
        <w:t>a</w:t>
      </w:r>
      <w:r w:rsidR="007E32A1">
        <w:t xml:space="preserve"> gestione</w:t>
      </w:r>
      <w:r w:rsidR="002D74D3">
        <w:t xml:space="preserve"> dei rifiuti </w:t>
      </w:r>
      <w:r w:rsidR="00FC7778">
        <w:t>non è affatto scontat</w:t>
      </w:r>
      <w:r w:rsidR="004841EE">
        <w:t>o</w:t>
      </w:r>
      <w:r w:rsidR="006C7E87">
        <w:t xml:space="preserve">. </w:t>
      </w:r>
      <w:r w:rsidR="009D4FD0">
        <w:t xml:space="preserve">Nella maggioranza dei </w:t>
      </w:r>
      <w:r w:rsidR="004841EE">
        <w:t>paesi</w:t>
      </w:r>
      <w:r w:rsidR="009D4FD0">
        <w:t xml:space="preserve"> </w:t>
      </w:r>
      <w:r w:rsidR="00792C5A">
        <w:t xml:space="preserve">OECD </w:t>
      </w:r>
      <w:r w:rsidR="004841EE">
        <w:t>ci si basa</w:t>
      </w:r>
      <w:r w:rsidR="009D4FD0">
        <w:t xml:space="preserve"> </w:t>
      </w:r>
      <w:r w:rsidR="004841EE">
        <w:t>sul</w:t>
      </w:r>
      <w:r w:rsidR="009D4FD0">
        <w:t xml:space="preserve">l’auto-regolazione degli enti locali, a loro volta inseriti in più ampi sistemi di </w:t>
      </w:r>
      <w:r w:rsidR="006C7E87" w:rsidRPr="006C7E87">
        <w:rPr>
          <w:i/>
          <w:iCs/>
        </w:rPr>
        <w:t>governance</w:t>
      </w:r>
      <w:r w:rsidR="009D4FD0">
        <w:t xml:space="preserve"> che riguardano la finanza</w:t>
      </w:r>
      <w:r w:rsidR="006C7E87">
        <w:t xml:space="preserve"> locale</w:t>
      </w:r>
      <w:r w:rsidR="009D4FD0">
        <w:t>, l’organizzazione dei servizi pubblici locali e le politiche ambientali</w:t>
      </w:r>
      <w:r w:rsidR="00792C5A">
        <w:t xml:space="preserve"> (Massarutto e Antonioli, 2012)</w:t>
      </w:r>
      <w:r w:rsidR="006C7E87">
        <w:t xml:space="preserve">; quasi ovunque </w:t>
      </w:r>
      <w:r w:rsidR="004841EE">
        <w:t>si</w:t>
      </w:r>
      <w:r w:rsidR="006C7E87">
        <w:t xml:space="preserve"> fa ampio ricorso a</w:t>
      </w:r>
      <w:r w:rsidR="004841EE">
        <w:t xml:space="preserve">l </w:t>
      </w:r>
      <w:r w:rsidR="006C7E87">
        <w:t xml:space="preserve">mercato – </w:t>
      </w:r>
      <w:r w:rsidR="006949B4">
        <w:t xml:space="preserve">quando non una vera concorrenza nel mercato, </w:t>
      </w:r>
      <w:r w:rsidR="006C7E87">
        <w:t>gare per l’affidamento</w:t>
      </w:r>
      <w:r w:rsidR="006949B4">
        <w:t xml:space="preserve"> o per</w:t>
      </w:r>
      <w:r w:rsidR="006C7E87">
        <w:t xml:space="preserve"> partenariati pubblico-privati, outsourcing</w:t>
      </w:r>
      <w:r w:rsidR="006949B4">
        <w:t xml:space="preserve"> di funzioni operative.</w:t>
      </w:r>
      <w:r w:rsidR="006C7E87">
        <w:t xml:space="preserve"> </w:t>
      </w:r>
      <w:r w:rsidR="006949B4">
        <w:t>P</w:t>
      </w:r>
      <w:r w:rsidR="006C7E87">
        <w:t xml:space="preserve">er </w:t>
      </w:r>
      <w:r w:rsidR="004841EE">
        <w:t>governare il tutto</w:t>
      </w:r>
      <w:r w:rsidR="006C7E87">
        <w:t xml:space="preserve"> non sono state </w:t>
      </w:r>
      <w:r w:rsidR="004841EE">
        <w:t>in genere</w:t>
      </w:r>
      <w:r w:rsidR="006C7E87">
        <w:t xml:space="preserve"> avvertite </w:t>
      </w:r>
      <w:r w:rsidR="0001370C">
        <w:t>complessità</w:t>
      </w:r>
      <w:r w:rsidR="006C7E87">
        <w:t xml:space="preserve"> </w:t>
      </w:r>
      <w:r w:rsidR="0001370C">
        <w:t xml:space="preserve">tali da motivare radicali riforme </w:t>
      </w:r>
      <w:r w:rsidR="00A30D1A">
        <w:t>del modello di regolazione</w:t>
      </w:r>
      <w:r w:rsidR="00D73F99">
        <w:t>.</w:t>
      </w:r>
    </w:p>
    <w:p w14:paraId="2170A769" w14:textId="20BAF80D" w:rsidR="007E32A1" w:rsidRDefault="00D73F99" w:rsidP="00644EDE">
      <w:r>
        <w:t xml:space="preserve">L’Italia rappresenta </w:t>
      </w:r>
      <w:r w:rsidR="00EC6546">
        <w:t xml:space="preserve">quindi </w:t>
      </w:r>
      <w:r>
        <w:t xml:space="preserve">una vistosa eccezione. Tuttavia, non pochi altri Paesi in Europa hanno seguito il suo esempio (tra questi Portogallo, Ungheria, Grecia, Paesi </w:t>
      </w:r>
      <w:r w:rsidR="00D725B0">
        <w:t>B</w:t>
      </w:r>
      <w:r>
        <w:t>altici), e il tema sta acquisendo un</w:t>
      </w:r>
      <w:r w:rsidR="002551BC">
        <w:t xml:space="preserve"> crescente interesse</w:t>
      </w:r>
      <w:r>
        <w:t xml:space="preserve"> </w:t>
      </w:r>
      <w:r w:rsidR="00DF1165">
        <w:t>anche altrove</w:t>
      </w:r>
      <w:r>
        <w:t xml:space="preserve"> (Salvetti, 202</w:t>
      </w:r>
      <w:r w:rsidR="00CB6399">
        <w:t>5</w:t>
      </w:r>
      <w:r>
        <w:t>).</w:t>
      </w:r>
      <w:r w:rsidR="002551BC">
        <w:t xml:space="preserve"> </w:t>
      </w:r>
      <w:r w:rsidR="00400D88">
        <w:t>Con l’affermarsi del paradigma dell’economia circolare si rende da un lato necessaria una maggiore apertura al mercato e dall’altra si incrementa la complessità industriale della filiera, sollecitando modelli regolatori più evoluti (OECD, 2023)</w:t>
      </w:r>
      <w:r w:rsidR="008327E1">
        <w:t>.</w:t>
      </w:r>
    </w:p>
    <w:p w14:paraId="09BC4E48" w14:textId="77777777" w:rsidR="00BE6399" w:rsidRDefault="00D725B0" w:rsidP="009C35C9">
      <w:r>
        <w:lastRenderedPageBreak/>
        <w:t>In questo articolo intendiamo esaminare le ragioni</w:t>
      </w:r>
      <w:r w:rsidR="00E54FFF">
        <w:t xml:space="preserve"> che hanno giustificato, e a nostro parere ancora giustificano, la scelta di questo modello</w:t>
      </w:r>
      <w:r w:rsidR="00DA1449">
        <w:t>, soprattutto nel peculiare caso italiano</w:t>
      </w:r>
      <w:r w:rsidR="00E54FFF">
        <w:t xml:space="preserve">. </w:t>
      </w:r>
      <w:r w:rsidR="009C35C9">
        <w:t xml:space="preserve">Non è nelle intenzioni (né nelle competenze) dell’autore discutere </w:t>
      </w:r>
      <w:r w:rsidR="00FC7778">
        <w:t>la questione</w:t>
      </w:r>
      <w:r w:rsidR="009C35C9">
        <w:t xml:space="preserve"> sul piano giuridico</w:t>
      </w:r>
      <w:r w:rsidR="00FC7778">
        <w:t xml:space="preserve">. </w:t>
      </w:r>
      <w:r>
        <w:t>Si intende</w:t>
      </w:r>
      <w:r w:rsidR="00FC7778">
        <w:t xml:space="preserve"> piuttosto </w:t>
      </w:r>
      <w:r w:rsidR="00AD3511">
        <w:t>applicare</w:t>
      </w:r>
      <w:r w:rsidR="00FC7778">
        <w:t xml:space="preserve"> un approccio di analisi economica del diritto </w:t>
      </w:r>
      <w:r w:rsidR="00AD3511">
        <w:t>alla comprensione delle</w:t>
      </w:r>
      <w:r w:rsidR="00BF5B66">
        <w:t xml:space="preserve"> motivazioni che, secondo la teoria economica, giustificano il ricorso alla regolazione indipendente. </w:t>
      </w:r>
    </w:p>
    <w:p w14:paraId="730A5951" w14:textId="63031EAA" w:rsidR="009C35C9" w:rsidRDefault="00E54FFF" w:rsidP="009C35C9">
      <w:r>
        <w:t>Nel pensiero economico, la regolazione da parte di un’autorità indipendente si giustifica come rimedio contro due contrapposte criticità</w:t>
      </w:r>
      <w:r w:rsidR="00DA1449">
        <w:t xml:space="preserve"> (Boitani, 2002)</w:t>
      </w:r>
      <w:r>
        <w:t>. Da un lato l’assenza o la debolezza dei meccanismi di mercato</w:t>
      </w:r>
      <w:r w:rsidR="00DA1449">
        <w:t>, in specie quando sia avvertita l’esigenza di assoggettare un settore economico a obblighi di servizio pubblico che potrebbero pregiudicarne la sostenibilità economica e finanziaria. Da un altro lato, l’incoerenza temporale del soggetto pubblico, quando questo è condizionato dalla compresenza di altri obiettivi politici di breve termine che possono pregiudicare quelli di lungo termine relativi al servizio.</w:t>
      </w:r>
    </w:p>
    <w:p w14:paraId="4C684FF8" w14:textId="3D584EDD" w:rsidR="009C35C9" w:rsidRDefault="00D725B0" w:rsidP="00644EDE">
      <w:r>
        <w:t>A questo fine, si parte dall’analisi delle caratteristiche economiche del SGRU</w:t>
      </w:r>
      <w:r w:rsidR="00DA1449">
        <w:t xml:space="preserve"> e del ruolo potenziale della concorrenza (par. 2)</w:t>
      </w:r>
      <w:r>
        <w:t xml:space="preserve">, e delle forme </w:t>
      </w:r>
      <w:r w:rsidR="00DA1449">
        <w:t>peculiari</w:t>
      </w:r>
      <w:r>
        <w:t xml:space="preserve"> che esso ha assunto nel nostro Paese</w:t>
      </w:r>
      <w:r w:rsidR="00DA1449">
        <w:t xml:space="preserve"> (par. 3)</w:t>
      </w:r>
      <w:r>
        <w:t>.</w:t>
      </w:r>
      <w:r w:rsidR="00DA1449">
        <w:t xml:space="preserve"> Si prosegue analizzando il ruolo che la concorrenza ha effettivamente avuto nell’esperienza del settore (par. 4). Nel par. 5 presentiamo succintamente l’approccio regolatorio adottato da ARERA</w:t>
      </w:r>
      <w:r w:rsidR="008437A8">
        <w:t>, concentrando l’attenzione sulla regolazione tariffaria. Nel par. 6 proponiamo un’analisi critica dei risultati raggiunti.</w:t>
      </w:r>
    </w:p>
    <w:p w14:paraId="166F11DA" w14:textId="7C2AE435" w:rsidR="000419E4" w:rsidRDefault="00BC6B51" w:rsidP="000419E4">
      <w:pPr>
        <w:pStyle w:val="Titolo2"/>
      </w:pPr>
      <w:r>
        <w:t>Regimi istituzionali della gestione dei RU</w:t>
      </w:r>
      <w:r w:rsidR="000D40F0">
        <w:t>: gestione integrata, pianificazione o mercato?</w:t>
      </w:r>
      <w:r w:rsidR="000419E4">
        <w:t xml:space="preserve"> </w:t>
      </w:r>
    </w:p>
    <w:p w14:paraId="2C3B07D8" w14:textId="0622C083" w:rsidR="001D42A6" w:rsidRDefault="001D42A6" w:rsidP="003331D2">
      <w:pPr>
        <w:pStyle w:val="Titolo3"/>
      </w:pPr>
      <w:r>
        <w:t xml:space="preserve">La struttura verticale del SGRU: </w:t>
      </w:r>
      <w:r w:rsidR="001204CC">
        <w:t>dall’igiene urbana alla pianificazione</w:t>
      </w:r>
    </w:p>
    <w:p w14:paraId="15FD4F4A" w14:textId="3C7881B6" w:rsidR="006949B4" w:rsidRDefault="006949B4" w:rsidP="00CF1D09">
      <w:r>
        <w:t>La legislazione europea e nazionale di rifiuti stabilisce che chiunque detenga un rifiuto sia tenuto a disfarsene conferendolo a un soggetto accreditato. Mentre i produttori di rifiuti c.d. “speciali” (le attività produttive di beni e servizi) hanno, al riguardo, libertà di scelta in un mercato competitivo (con l’unico limite che i soggetti di offerta devono essere accreditati), i produttori di rifiuti “urbani” sono invece tenuti ad utilizzare il servizio pubblico allo scopo organizzato. In base alla definizione della Dir. 2008/98, fanno parte di questa categoria i rifiuti domestici (differenziati e indifferenziati), quelli provenienti dalle attività produttive simili per quantità e composizione a quelli domestici</w:t>
      </w:r>
      <w:r w:rsidR="00F35172">
        <w:t xml:space="preserve">, e </w:t>
      </w:r>
      <w:r w:rsidR="00937E52">
        <w:t>quelli provenienti dalle superfici pubbliche.</w:t>
      </w:r>
    </w:p>
    <w:p w14:paraId="429D5D01" w14:textId="516A7E8C" w:rsidR="00937E52" w:rsidRDefault="00937E52" w:rsidP="00937E52">
      <w:r>
        <w:t xml:space="preserve">A differenza delle altre utility “a rete” il SGRU si basa ancora largamente su un modello di erogazione “triangolare”, in cui il “cliente” del gestore è rappresentato dalla Pubblica Amministrazione, la quale acquista il servizio “a corpo” e ne finanzia la spesa attraverso un corrispettivo avente natura fiscale (da noi, la TARI). Si stanno però diffondendo diversi schemi alternativi. In primo luogo, la tariffazione del servizio può essere </w:t>
      </w:r>
      <w:r w:rsidR="00770595">
        <w:t>effettuata direttamente dal soggetto gestore all’utente finale. Secondo, il principio di “responsabilità estesa del produttore”</w:t>
      </w:r>
      <w:r w:rsidR="00A95B72">
        <w:t xml:space="preserve"> (EPR) impone a</w:t>
      </w:r>
      <w:r w:rsidR="00770595">
        <w:t xml:space="preserve">i soggetti che immettono sul mercato prodotti destinati a diventare rifiuti </w:t>
      </w:r>
      <w:r w:rsidR="00A95B72">
        <w:t>di</w:t>
      </w:r>
      <w:r w:rsidR="00770595">
        <w:t xml:space="preserve"> fa</w:t>
      </w:r>
      <w:r w:rsidR="00A95B72">
        <w:t>rsi</w:t>
      </w:r>
      <w:r w:rsidR="00770595">
        <w:t xml:space="preserve"> carico della gestione del loro fine vita</w:t>
      </w:r>
      <w:r w:rsidR="00955651">
        <w:t xml:space="preserve"> e del relativo </w:t>
      </w:r>
      <w:r w:rsidR="00770595">
        <w:t>costo</w:t>
      </w:r>
      <w:r w:rsidR="00A95B72">
        <w:t xml:space="preserve"> che quindi si trasferirà nel prezzo dei prodotti</w:t>
      </w:r>
      <w:r w:rsidR="00770595">
        <w:t>.</w:t>
      </w:r>
      <w:r w:rsidR="003C1F1C">
        <w:t xml:space="preserve"> </w:t>
      </w:r>
      <w:r w:rsidR="00F9376A">
        <w:t>L</w:t>
      </w:r>
      <w:r w:rsidR="003C1F1C">
        <w:t xml:space="preserve">’emergente paradigma dell’economia circolare sollecita lo sviluppo di iniziative quali le raccolte selettive, la riconsegna dell’usato, gli schemi di </w:t>
      </w:r>
      <w:r w:rsidR="003C1F1C" w:rsidRPr="003C1F1C">
        <w:rPr>
          <w:i/>
          <w:iCs/>
        </w:rPr>
        <w:t>product-as-a-service</w:t>
      </w:r>
      <w:r w:rsidR="00A95B72">
        <w:t>, di nuovo determinando l’internalizzazione del relativo costo nella “catena del valore” dei beni immessi al consumo</w:t>
      </w:r>
      <w:r w:rsidR="003C1F1C">
        <w:t xml:space="preserve">. </w:t>
      </w:r>
    </w:p>
    <w:p w14:paraId="0C3FFD85" w14:textId="31B6D099" w:rsidR="0086463D" w:rsidRDefault="004841EE" w:rsidP="0086463D">
      <w:r>
        <w:t>Ne</w:t>
      </w:r>
      <w:r w:rsidR="00B046E2">
        <w:t>l</w:t>
      </w:r>
      <w:r w:rsidR="00A95B72">
        <w:t>la filiera del</w:t>
      </w:r>
      <w:r w:rsidR="00CF1D09">
        <w:t xml:space="preserve"> SGRU </w:t>
      </w:r>
      <w:r>
        <w:t>si possono riconoscere</w:t>
      </w:r>
      <w:r w:rsidR="00A30D1A">
        <w:t xml:space="preserve"> in</w:t>
      </w:r>
      <w:r w:rsidR="00CF1D09">
        <w:t xml:space="preserve"> tre </w:t>
      </w:r>
      <w:r w:rsidR="00BC6B51">
        <w:t>insiemi</w:t>
      </w:r>
      <w:r w:rsidR="009B15B8">
        <w:t xml:space="preserve"> di attività</w:t>
      </w:r>
      <w:r w:rsidR="00CF1D09">
        <w:t xml:space="preserve"> (fig. 1).</w:t>
      </w:r>
      <w:r w:rsidR="00A95B72">
        <w:t xml:space="preserve"> </w:t>
      </w:r>
      <w:r w:rsidR="0086463D">
        <w:t xml:space="preserve">Il primo è quello dei servizi di igiene urbana propriamente detta (raccolta indifferenziata e differenziata, spazzamento), che per comodità espositiva indichiamo con M1; esso corrisponde al nucleo originario del SGRU, come istituito in Italia dalla l.366/1941. Il secondo include il trattamento </w:t>
      </w:r>
      <w:r w:rsidR="003C1F1C">
        <w:t xml:space="preserve">preliminare (TMB) </w:t>
      </w:r>
      <w:r w:rsidR="0086463D">
        <w:t xml:space="preserve">e </w:t>
      </w:r>
      <w:r w:rsidR="003C1F1C">
        <w:t xml:space="preserve">lo </w:t>
      </w:r>
      <w:r w:rsidR="0086463D">
        <w:t xml:space="preserve">smaltimento dei rifiuti non altrimenti valorizzabili (M2), mentre il terzo è relativo al recupero di risorse, sotto forma di energia o nuova materia (M3). </w:t>
      </w:r>
    </w:p>
    <w:p w14:paraId="0DED8D58" w14:textId="0D8DF9B9" w:rsidR="0086463D" w:rsidRDefault="0086463D" w:rsidP="0086463D">
      <w:r>
        <w:t xml:space="preserve">I tre insiemi sono separati da confini tanto meno precisi quanto più la filiera diviene industrialmente complessa. Il confine tra M2 e M3, ad esempio, potrebbe idealmente essere tracciato sulla base </w:t>
      </w:r>
      <w:r>
        <w:lastRenderedPageBreak/>
        <w:t>dell’appartenenza dei trattamenti alle attività di smaltimento o di recupero ai sensi della Dir. 98/2008 e del Dlgs 152/06</w:t>
      </w:r>
      <w:r w:rsidR="003C1F1C">
        <w:t>, come il recupero energetico (WtE)</w:t>
      </w:r>
      <w:r w:rsidR="00AD393F">
        <w:rPr>
          <w:rStyle w:val="Rimandonotaapidipagina"/>
        </w:rPr>
        <w:footnoteReference w:id="3"/>
      </w:r>
      <w:r>
        <w:t>, ma anche sulla base dei sistemi di raccolta che vi stanno a monte (indifferenziato vs. differenziato)</w:t>
      </w:r>
      <w:r w:rsidR="00BC6B51">
        <w:t>, oppure ancora della suscettibilità ad essere gestito in regime di mercato</w:t>
      </w:r>
      <w:r w:rsidR="00A95B72">
        <w:t>.</w:t>
      </w:r>
      <w:r>
        <w:t xml:space="preserve"> Tra M1 e M2 assumono rilevanza le attività di trattamento intermedio (selezione, compattamento, trasporto)</w:t>
      </w:r>
      <w:r w:rsidR="003C1F1C">
        <w:t>, che possono essere svolte dall’operatore della raccolta ma anche da soggetti terzi</w:t>
      </w:r>
      <w:r>
        <w:t>; analogamente, tra M1 e M3 si pongono le attività intermedie</w:t>
      </w:r>
      <w:r w:rsidR="00A95B72">
        <w:t xml:space="preserve"> di preparazione per il riciclo</w:t>
      </w:r>
      <w:r>
        <w:t xml:space="preserve"> (selezione, affinamento, prepulizia, lavaggio), come pure certe raccolte selettive (es. sistemi di riuso) che potrebbero essere svolte direttamente </w:t>
      </w:r>
      <w:r w:rsidR="003C1F1C">
        <w:t xml:space="preserve">dal gestore oppure </w:t>
      </w:r>
      <w:r>
        <w:t xml:space="preserve">da imprese private al di fuori del servizio pubblico. </w:t>
      </w:r>
    </w:p>
    <w:p w14:paraId="091DEDDF" w14:textId="4BEF6B91" w:rsidR="00821A15" w:rsidRDefault="00133FF2" w:rsidP="00133FF2">
      <w:pPr>
        <w:pStyle w:val="Titolofigureetabelle"/>
      </w:pPr>
      <w:r>
        <w:t>Figura 1 – La struttura della filiera del SGRU</w:t>
      </w:r>
    </w:p>
    <w:p w14:paraId="27B563F5" w14:textId="4E4AFB4F" w:rsidR="00821A15" w:rsidRDefault="00133FF2" w:rsidP="00133FF2">
      <w:pPr>
        <w:pStyle w:val="Testotabella"/>
        <w:jc w:val="center"/>
      </w:pPr>
      <w:r>
        <w:rPr>
          <w:noProof/>
        </w:rPr>
        <w:drawing>
          <wp:inline distT="0" distB="0" distL="0" distR="0" wp14:anchorId="2D97EFE0" wp14:editId="38DA269D">
            <wp:extent cx="5715000" cy="4286250"/>
            <wp:effectExtent l="0" t="0" r="0" b="0"/>
            <wp:docPr id="4" name="Elemento grafico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96DAC541-7B7A-43D3-8B79-37D633B846F1}">
                          <asvg:svgBlip xmlns:asvg="http://schemas.microsoft.com/office/drawing/2016/SVG/main" r:embed="rId9"/>
                        </a:ext>
                      </a:extLst>
                    </a:blip>
                    <a:stretch>
                      <a:fillRect/>
                    </a:stretch>
                  </pic:blipFill>
                  <pic:spPr>
                    <a:xfrm>
                      <a:off x="0" y="0"/>
                      <a:ext cx="5715000" cy="4286250"/>
                    </a:xfrm>
                    <a:prstGeom prst="rect">
                      <a:avLst/>
                    </a:prstGeom>
                  </pic:spPr>
                </pic:pic>
              </a:graphicData>
            </a:graphic>
          </wp:inline>
        </w:drawing>
      </w:r>
    </w:p>
    <w:p w14:paraId="5BEF6B6A" w14:textId="30177908" w:rsidR="00133FF2" w:rsidRPr="00133FF2" w:rsidRDefault="00133FF2" w:rsidP="00133FF2">
      <w:pPr>
        <w:pStyle w:val="Finefiguraetabella"/>
        <w:rPr>
          <w:lang w:val="it-IT"/>
        </w:rPr>
      </w:pPr>
      <w:r w:rsidRPr="00133FF2">
        <w:rPr>
          <w:lang w:val="it-IT"/>
        </w:rPr>
        <w:t>F</w:t>
      </w:r>
      <w:r>
        <w:rPr>
          <w:lang w:val="it-IT"/>
        </w:rPr>
        <w:t>onte: adattamento da Massarutto, 2024</w:t>
      </w:r>
    </w:p>
    <w:p w14:paraId="0867483B" w14:textId="3414F4CB" w:rsidR="0090642F" w:rsidRDefault="0090642F" w:rsidP="0090642F">
      <w:r>
        <w:t xml:space="preserve">La linea di separazione è tuttavia essenziale dal punto di vista del </w:t>
      </w:r>
      <w:r w:rsidRPr="0086463D">
        <w:rPr>
          <w:i/>
          <w:iCs/>
        </w:rPr>
        <w:t>market design</w:t>
      </w:r>
      <w:r>
        <w:t>, con riferimento sia all’estensione del perimetro del servizio pubblico</w:t>
      </w:r>
      <w:r w:rsidR="00A95B72">
        <w:t xml:space="preserve"> e delle eventuali forme di regolamentazione</w:t>
      </w:r>
      <w:r>
        <w:t xml:space="preserve">, sia all’individuazione dei soggetti su cui gravano i corrispondenti obblighi di servizio pubblico. </w:t>
      </w:r>
    </w:p>
    <w:p w14:paraId="7D4AC557" w14:textId="634A9B3A" w:rsidR="0090642F" w:rsidRDefault="00A95B72" w:rsidP="0090642F">
      <w:r>
        <w:t>N</w:t>
      </w:r>
      <w:r w:rsidR="0090642F">
        <w:t xml:space="preserve">el tempo </w:t>
      </w:r>
      <w:r>
        <w:t xml:space="preserve">si sono succeduti </w:t>
      </w:r>
      <w:r w:rsidR="0090642F">
        <w:t xml:space="preserve">diversi regimi, la cui evoluzione storica è sintetizzata nella tab. 1. </w:t>
      </w:r>
    </w:p>
    <w:p w14:paraId="5C11CBEB" w14:textId="7F7DBCBD" w:rsidR="0090642F" w:rsidRDefault="0090642F" w:rsidP="0090642F">
      <w:r>
        <w:lastRenderedPageBreak/>
        <w:t>Ciascuno dei tre insiemi di attività è almeno potenzialmente autonomo, nel senso che potrebbe essere organizzato in modo indipendente dagli altri, affidando le reciproche relazioni a transazioni di mercato. Così è avvenuto nel regime che ha caratterizzato il SGRU dalla sua istituzione fino, grosso modo, agli anni 70: il perimetro del servizio pubblico era limitato alle sole attività M1; i rifiuti raccolti trovavano facilmente destinazione nelle cave dismesse prossime alle aree urbane, mentre un mercato abbastanza vivace di riciclatori, robivecchi e straccivendoli prelevava dagli scarti tutto quel che aveva senso economico prelevare</w:t>
      </w:r>
      <w:r w:rsidR="00A95B72">
        <w:t>, come avviene ancor oggi in molte economie emergenti</w:t>
      </w:r>
      <w:r>
        <w:t>.</w:t>
      </w:r>
      <w:r w:rsidR="00BD01AB">
        <w:t xml:space="preserve"> I corrispettivi pagati per il conferimento dei RU agli impianti (</w:t>
      </w:r>
      <w:r w:rsidR="00BD01AB" w:rsidRPr="00F9376A">
        <w:rPr>
          <w:i/>
          <w:iCs/>
        </w:rPr>
        <w:t>gate-fee</w:t>
      </w:r>
      <w:r w:rsidR="00BD01AB">
        <w:t>) e i prezzi di mercato dei materiali da avviare al riciclo non necessitavano di regolazione.</w:t>
      </w:r>
    </w:p>
    <w:p w14:paraId="7A8C3FD5" w14:textId="435032D1" w:rsidR="00CF1D09" w:rsidRDefault="00AF1DDE" w:rsidP="00CA0C02">
      <w:pPr>
        <w:pStyle w:val="Titolofigureetabelle"/>
      </w:pPr>
      <w:r>
        <w:t>Tabella</w:t>
      </w:r>
      <w:r w:rsidR="00CA0C02">
        <w:t xml:space="preserve"> 1 – </w:t>
      </w:r>
      <w:r>
        <w:t>Perimetro del servizio pubblico e obblighi di servizio ad esso associati: evoluzione storica</w:t>
      </w:r>
    </w:p>
    <w:tbl>
      <w:tblPr>
        <w:tblW w:w="4790" w:type="pct"/>
        <w:tblInd w:w="132" w:type="dxa"/>
        <w:tblCellMar>
          <w:left w:w="0" w:type="dxa"/>
          <w:right w:w="0" w:type="dxa"/>
        </w:tblCellMar>
        <w:tblLook w:val="04A0" w:firstRow="1" w:lastRow="0" w:firstColumn="1" w:lastColumn="0" w:noHBand="0" w:noVBand="1"/>
      </w:tblPr>
      <w:tblGrid>
        <w:gridCol w:w="651"/>
        <w:gridCol w:w="3969"/>
        <w:gridCol w:w="909"/>
        <w:gridCol w:w="1133"/>
        <w:gridCol w:w="1279"/>
        <w:gridCol w:w="1273"/>
      </w:tblGrid>
      <w:tr w:rsidR="001A5274" w:rsidRPr="00195BF8" w14:paraId="1C175F65" w14:textId="77777777" w:rsidTr="008F4E9E">
        <w:trPr>
          <w:trHeight w:val="660"/>
        </w:trPr>
        <w:tc>
          <w:tcPr>
            <w:tcW w:w="353"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2EE054DC" w14:textId="1CBBE627" w:rsidR="00E94DAB" w:rsidRPr="00195BF8" w:rsidRDefault="00E94DAB" w:rsidP="00195BF8">
            <w:pPr>
              <w:pStyle w:val="Testotabella"/>
              <w:rPr>
                <w:noProof/>
              </w:rPr>
            </w:pPr>
            <w:r w:rsidRPr="00C94F79">
              <w:rPr>
                <w:noProof/>
              </w:rPr>
              <w:t xml:space="preserve"> </w:t>
            </w:r>
            <w:r w:rsidRPr="00AF1DDE">
              <w:rPr>
                <w:noProof/>
              </w:rPr>
              <w:t> </w:t>
            </w:r>
          </w:p>
        </w:tc>
        <w:tc>
          <w:tcPr>
            <w:tcW w:w="21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F245934" w14:textId="7A2F90EE" w:rsidR="00E94DAB" w:rsidRPr="00195BF8" w:rsidRDefault="00E94DAB" w:rsidP="00E94DAB">
            <w:pPr>
              <w:pStyle w:val="Testotabella"/>
              <w:jc w:val="right"/>
              <w:rPr>
                <w:noProof/>
              </w:rPr>
            </w:pPr>
            <w:r w:rsidRPr="00AF1DDE">
              <w:rPr>
                <w:noProof/>
              </w:rPr>
              <w:t> </w:t>
            </w:r>
            <w:r>
              <w:rPr>
                <w:noProof/>
              </w:rPr>
              <w:t>Periodo</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8D0E0F4" w14:textId="562E82EA" w:rsidR="00E94DAB" w:rsidRPr="00195BF8" w:rsidRDefault="00E94DAB" w:rsidP="001A5274">
            <w:pPr>
              <w:pStyle w:val="Testotabella"/>
              <w:jc w:val="center"/>
              <w:rPr>
                <w:noProof/>
              </w:rPr>
            </w:pPr>
            <w:r>
              <w:rPr>
                <w:noProof/>
                <w:lang w:val="en-US"/>
              </w:rPr>
              <w:t>1945-1975</w:t>
            </w:r>
          </w:p>
        </w:tc>
        <w:tc>
          <w:tcPr>
            <w:tcW w:w="61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052A9BC" w14:textId="6D06A586" w:rsidR="00E94DAB" w:rsidRPr="00195BF8" w:rsidRDefault="00E94DAB" w:rsidP="001A5274">
            <w:pPr>
              <w:pStyle w:val="Testotabella"/>
              <w:jc w:val="center"/>
              <w:rPr>
                <w:noProof/>
              </w:rPr>
            </w:pPr>
            <w:r>
              <w:rPr>
                <w:noProof/>
                <w:lang w:val="en-US"/>
              </w:rPr>
              <w:t>1975-19</w:t>
            </w:r>
            <w:r w:rsidR="001A5274">
              <w:rPr>
                <w:noProof/>
                <w:lang w:val="en-US"/>
              </w:rPr>
              <w:t>95</w:t>
            </w:r>
          </w:p>
        </w:tc>
        <w:tc>
          <w:tcPr>
            <w:tcW w:w="69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E467AE0" w14:textId="15AE615B" w:rsidR="00E94DAB" w:rsidRPr="00195BF8" w:rsidRDefault="00E94DAB" w:rsidP="001A5274">
            <w:pPr>
              <w:pStyle w:val="Testotabella"/>
              <w:jc w:val="center"/>
              <w:rPr>
                <w:noProof/>
              </w:rPr>
            </w:pPr>
            <w:r w:rsidRPr="00195BF8">
              <w:rPr>
                <w:noProof/>
                <w:lang w:val="en-US"/>
              </w:rPr>
              <w:t>1995-20</w:t>
            </w:r>
            <w:r w:rsidR="001A5274">
              <w:rPr>
                <w:noProof/>
                <w:lang w:val="en-US"/>
              </w:rPr>
              <w:t>15</w:t>
            </w:r>
          </w:p>
        </w:tc>
        <w:tc>
          <w:tcPr>
            <w:tcW w:w="69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40E4943B" w14:textId="0EC11ACB" w:rsidR="00E94DAB" w:rsidRPr="00195BF8" w:rsidRDefault="001A5274" w:rsidP="001A5274">
            <w:pPr>
              <w:pStyle w:val="Testotabella"/>
              <w:jc w:val="center"/>
              <w:rPr>
                <w:noProof/>
              </w:rPr>
            </w:pPr>
            <w:r>
              <w:rPr>
                <w:noProof/>
                <w:lang w:val="en-US"/>
              </w:rPr>
              <w:t>&gt;2015</w:t>
            </w:r>
          </w:p>
        </w:tc>
      </w:tr>
      <w:tr w:rsidR="001A5274" w:rsidRPr="00195BF8" w14:paraId="5061BBC3" w14:textId="77777777" w:rsidTr="008F4E9E">
        <w:trPr>
          <w:trHeight w:val="362"/>
        </w:trPr>
        <w:tc>
          <w:tcPr>
            <w:tcW w:w="353" w:type="pct"/>
            <w:vMerge/>
            <w:tcBorders>
              <w:top w:val="single" w:sz="8" w:space="0" w:color="000000"/>
              <w:left w:val="single" w:sz="8" w:space="0" w:color="000000"/>
              <w:bottom w:val="single" w:sz="8" w:space="0" w:color="000000"/>
              <w:right w:val="single" w:sz="8" w:space="0" w:color="000000"/>
            </w:tcBorders>
            <w:vAlign w:val="center"/>
            <w:hideMark/>
          </w:tcPr>
          <w:p w14:paraId="47B375DD" w14:textId="77777777" w:rsidR="00E94DAB" w:rsidRPr="00195BF8" w:rsidRDefault="00E94DAB" w:rsidP="00195BF8">
            <w:pPr>
              <w:pStyle w:val="Testotabella"/>
              <w:rPr>
                <w:noProof/>
              </w:rPr>
            </w:pPr>
          </w:p>
        </w:tc>
        <w:tc>
          <w:tcPr>
            <w:tcW w:w="2154" w:type="pc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ABD86C3" w14:textId="10250B91" w:rsidR="00E94DAB" w:rsidRPr="00195BF8" w:rsidRDefault="00E94DAB" w:rsidP="00562F27">
            <w:pPr>
              <w:pStyle w:val="Testotabella"/>
              <w:jc w:val="right"/>
              <w:rPr>
                <w:noProof/>
              </w:rPr>
            </w:pPr>
            <w:r>
              <w:rPr>
                <w:noProof/>
              </w:rPr>
              <w:t>Riferimento normativo</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4BF48F19" w14:textId="52AB39C6" w:rsidR="00E94DAB" w:rsidRPr="00195BF8" w:rsidRDefault="00E94DAB" w:rsidP="001A5274">
            <w:pPr>
              <w:pStyle w:val="Testotabella"/>
              <w:jc w:val="center"/>
              <w:rPr>
                <w:noProof/>
              </w:rPr>
            </w:pPr>
            <w:r>
              <w:rPr>
                <w:noProof/>
              </w:rPr>
              <w:t>l.366/1941</w:t>
            </w:r>
          </w:p>
        </w:tc>
        <w:tc>
          <w:tcPr>
            <w:tcW w:w="61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54C9362" w14:textId="77777777" w:rsidR="00E94DAB" w:rsidRDefault="00E94DAB" w:rsidP="001A5274">
            <w:pPr>
              <w:pStyle w:val="Testotabella"/>
              <w:jc w:val="center"/>
              <w:rPr>
                <w:noProof/>
              </w:rPr>
            </w:pPr>
            <w:r w:rsidRPr="00195BF8">
              <w:rPr>
                <w:noProof/>
              </w:rPr>
              <w:t>Dir. 75/442</w:t>
            </w:r>
          </w:p>
          <w:p w14:paraId="4B192EFB" w14:textId="6363D28C" w:rsidR="00E94DAB" w:rsidRPr="00195BF8" w:rsidRDefault="00E94DAB" w:rsidP="001A5274">
            <w:pPr>
              <w:pStyle w:val="Testotabella"/>
              <w:jc w:val="center"/>
              <w:rPr>
                <w:noProof/>
              </w:rPr>
            </w:pPr>
            <w:r w:rsidRPr="00195BF8">
              <w:rPr>
                <w:noProof/>
              </w:rPr>
              <w:t>DPR 915/82</w:t>
            </w:r>
          </w:p>
        </w:tc>
        <w:tc>
          <w:tcPr>
            <w:tcW w:w="69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3D35388A" w14:textId="3DC6E36B" w:rsidR="001F3EFA" w:rsidRDefault="001F3EFA" w:rsidP="001F3EFA">
            <w:pPr>
              <w:pStyle w:val="Testotabella"/>
              <w:jc w:val="center"/>
              <w:rPr>
                <w:noProof/>
              </w:rPr>
            </w:pPr>
            <w:r w:rsidRPr="00195BF8">
              <w:rPr>
                <w:noProof/>
              </w:rPr>
              <w:t>Dir. 2008/98</w:t>
            </w:r>
          </w:p>
          <w:p w14:paraId="591E86DE" w14:textId="191B0901" w:rsidR="00E94DAB" w:rsidRPr="00195BF8" w:rsidRDefault="00E94DAB" w:rsidP="001F3EFA">
            <w:pPr>
              <w:pStyle w:val="Testotabella"/>
              <w:jc w:val="center"/>
              <w:rPr>
                <w:noProof/>
              </w:rPr>
            </w:pPr>
            <w:r w:rsidRPr="00195BF8">
              <w:rPr>
                <w:noProof/>
              </w:rPr>
              <w:t>Dlgs</w:t>
            </w:r>
            <w:r>
              <w:rPr>
                <w:noProof/>
              </w:rPr>
              <w:t xml:space="preserve"> </w:t>
            </w:r>
            <w:r w:rsidRPr="00195BF8">
              <w:rPr>
                <w:noProof/>
              </w:rPr>
              <w:t>156/2006</w:t>
            </w:r>
          </w:p>
        </w:tc>
        <w:tc>
          <w:tcPr>
            <w:tcW w:w="69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766A907A" w14:textId="59DC004D" w:rsidR="001F3EFA" w:rsidRDefault="001F3EFA" w:rsidP="001A5274">
            <w:pPr>
              <w:pStyle w:val="Testotabella"/>
              <w:jc w:val="center"/>
              <w:rPr>
                <w:noProof/>
              </w:rPr>
            </w:pPr>
            <w:r>
              <w:rPr>
                <w:noProof/>
              </w:rPr>
              <w:t>CEP (*)</w:t>
            </w:r>
          </w:p>
          <w:p w14:paraId="0328D436" w14:textId="012EAB34" w:rsidR="008F4E9E" w:rsidRPr="00195BF8" w:rsidRDefault="008F4E9E" w:rsidP="001A5274">
            <w:pPr>
              <w:pStyle w:val="Testotabella"/>
              <w:jc w:val="center"/>
              <w:rPr>
                <w:noProof/>
              </w:rPr>
            </w:pPr>
            <w:r>
              <w:rPr>
                <w:noProof/>
              </w:rPr>
              <w:t>Dlgs 201/2022</w:t>
            </w:r>
          </w:p>
        </w:tc>
      </w:tr>
      <w:tr w:rsidR="008F4E9E" w:rsidRPr="00195BF8" w14:paraId="558E217A" w14:textId="77777777" w:rsidTr="006A6764">
        <w:trPr>
          <w:trHeight w:val="219"/>
        </w:trPr>
        <w:tc>
          <w:tcPr>
            <w:tcW w:w="353"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extDirection w:val="btLr"/>
            <w:hideMark/>
          </w:tcPr>
          <w:p w14:paraId="506CFEC2" w14:textId="53068D2F" w:rsidR="008F4E9E" w:rsidRPr="00195BF8" w:rsidRDefault="008F4E9E" w:rsidP="008F4E9E">
            <w:pPr>
              <w:pStyle w:val="Testotabella"/>
              <w:jc w:val="center"/>
              <w:rPr>
                <w:noProof/>
              </w:rPr>
            </w:pPr>
            <w:r w:rsidRPr="00195BF8">
              <w:rPr>
                <w:noProof/>
                <w:lang w:val="en-US"/>
              </w:rPr>
              <w:t>M1</w:t>
            </w:r>
          </w:p>
          <w:p w14:paraId="00763DEF" w14:textId="7E9042E3" w:rsidR="008F4E9E" w:rsidRPr="00195BF8" w:rsidRDefault="008F4E9E" w:rsidP="008F4E9E">
            <w:pPr>
              <w:pStyle w:val="Testotabella"/>
              <w:jc w:val="center"/>
              <w:rPr>
                <w:noProof/>
              </w:rPr>
            </w:pPr>
            <w:r>
              <w:rPr>
                <w:noProof/>
                <w:lang w:val="en-US"/>
              </w:rPr>
              <w:t>Igiene urbana</w:t>
            </w:r>
          </w:p>
        </w:tc>
        <w:tc>
          <w:tcPr>
            <w:tcW w:w="21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332AB0D" w14:textId="6C683B5B" w:rsidR="008F4E9E" w:rsidRPr="00195BF8" w:rsidRDefault="008F4E9E" w:rsidP="008F4E9E">
            <w:pPr>
              <w:pStyle w:val="Testotabella"/>
              <w:rPr>
                <w:noProof/>
              </w:rPr>
            </w:pPr>
            <w:r w:rsidRPr="00195BF8">
              <w:rPr>
                <w:noProof/>
              </w:rPr>
              <w:t>Raccogliere tutti I RU ge</w:t>
            </w:r>
            <w:r>
              <w:rPr>
                <w:noProof/>
              </w:rPr>
              <w:t>nerati dalle utenze</w:t>
            </w:r>
          </w:p>
        </w:tc>
        <w:tc>
          <w:tcPr>
            <w:tcW w:w="493"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73C31A12" w14:textId="1E3FA06E" w:rsidR="008F4E9E" w:rsidRPr="00195BF8" w:rsidRDefault="008F4E9E" w:rsidP="008F4E9E">
            <w:pPr>
              <w:pStyle w:val="Testotabella"/>
              <w:jc w:val="center"/>
              <w:rPr>
                <w:noProof/>
              </w:rPr>
            </w:pPr>
            <w:r>
              <w:rPr>
                <w:noProof/>
                <w:lang w:val="en-US"/>
              </w:rPr>
              <w:t>SGRU</w:t>
            </w:r>
          </w:p>
        </w:tc>
        <w:tc>
          <w:tcPr>
            <w:tcW w:w="615"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1ECC2C3D" w14:textId="0E8C0E40" w:rsidR="008F4E9E" w:rsidRPr="00195BF8" w:rsidRDefault="008F4E9E" w:rsidP="008F4E9E">
            <w:pPr>
              <w:pStyle w:val="Testotabella"/>
              <w:jc w:val="center"/>
              <w:rPr>
                <w:noProof/>
              </w:rPr>
            </w:pPr>
            <w:r>
              <w:rPr>
                <w:noProof/>
                <w:lang w:val="en-US"/>
              </w:rPr>
              <w:t>SGRU</w:t>
            </w:r>
          </w:p>
        </w:tc>
        <w:tc>
          <w:tcPr>
            <w:tcW w:w="694"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19C9D1D7" w14:textId="760E0D1B" w:rsidR="008F4E9E" w:rsidRPr="00195BF8" w:rsidRDefault="008F4E9E" w:rsidP="008F4E9E">
            <w:pPr>
              <w:pStyle w:val="Testotabella"/>
              <w:jc w:val="center"/>
              <w:rPr>
                <w:noProof/>
              </w:rPr>
            </w:pPr>
            <w:r>
              <w:rPr>
                <w:noProof/>
                <w:lang w:val="en-US"/>
              </w:rPr>
              <w:t>SGRU</w:t>
            </w:r>
          </w:p>
        </w:tc>
        <w:tc>
          <w:tcPr>
            <w:tcW w:w="691"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6E83E8FD" w14:textId="12148D2E" w:rsidR="008F4E9E" w:rsidRPr="00195BF8" w:rsidRDefault="008F4E9E" w:rsidP="008F4E9E">
            <w:pPr>
              <w:pStyle w:val="Testotabella"/>
              <w:jc w:val="center"/>
              <w:rPr>
                <w:noProof/>
              </w:rPr>
            </w:pPr>
            <w:r>
              <w:rPr>
                <w:noProof/>
                <w:lang w:val="en-US"/>
              </w:rPr>
              <w:t>SGRU</w:t>
            </w:r>
          </w:p>
        </w:tc>
      </w:tr>
      <w:tr w:rsidR="008F4E9E" w:rsidRPr="00195BF8" w14:paraId="10664CAC" w14:textId="77777777" w:rsidTr="006A6764">
        <w:trPr>
          <w:trHeight w:val="219"/>
        </w:trPr>
        <w:tc>
          <w:tcPr>
            <w:tcW w:w="353" w:type="pct"/>
            <w:vMerge/>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extDirection w:val="btLr"/>
          </w:tcPr>
          <w:p w14:paraId="6F02E2B3" w14:textId="77777777" w:rsidR="008F4E9E" w:rsidRPr="00195BF8" w:rsidRDefault="008F4E9E" w:rsidP="008F4E9E">
            <w:pPr>
              <w:pStyle w:val="Testotabella"/>
              <w:jc w:val="center"/>
              <w:rPr>
                <w:noProof/>
                <w:lang w:val="en-US"/>
              </w:rPr>
            </w:pPr>
          </w:p>
        </w:tc>
        <w:tc>
          <w:tcPr>
            <w:tcW w:w="21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5CBFCFDB" w14:textId="01765E31" w:rsidR="008F4E9E" w:rsidRPr="00195BF8" w:rsidRDefault="008F4E9E" w:rsidP="008F4E9E">
            <w:pPr>
              <w:pStyle w:val="Testotabella"/>
              <w:rPr>
                <w:noProof/>
              </w:rPr>
            </w:pPr>
            <w:r>
              <w:rPr>
                <w:noProof/>
              </w:rPr>
              <w:t>Raccogliere i rifiuti abbandonati (“orfani”)</w:t>
            </w:r>
          </w:p>
        </w:tc>
        <w:tc>
          <w:tcPr>
            <w:tcW w:w="493"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tcPr>
          <w:p w14:paraId="4595F4E0" w14:textId="5367CEEE" w:rsidR="008F4E9E" w:rsidRPr="008F4E9E" w:rsidRDefault="008F4E9E" w:rsidP="008F4E9E">
            <w:pPr>
              <w:pStyle w:val="Testotabella"/>
              <w:jc w:val="center"/>
              <w:rPr>
                <w:noProof/>
              </w:rPr>
            </w:pPr>
            <w:r>
              <w:rPr>
                <w:noProof/>
                <w:lang w:val="en-US"/>
              </w:rPr>
              <w:t>SGRU</w:t>
            </w:r>
          </w:p>
        </w:tc>
        <w:tc>
          <w:tcPr>
            <w:tcW w:w="615"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tcPr>
          <w:p w14:paraId="24E019EE" w14:textId="507A5893" w:rsidR="008F4E9E" w:rsidRPr="008F4E9E" w:rsidRDefault="008F4E9E" w:rsidP="008F4E9E">
            <w:pPr>
              <w:pStyle w:val="Testotabella"/>
              <w:jc w:val="center"/>
              <w:rPr>
                <w:noProof/>
              </w:rPr>
            </w:pPr>
            <w:r>
              <w:rPr>
                <w:noProof/>
                <w:lang w:val="en-US"/>
              </w:rPr>
              <w:t>SGRU</w:t>
            </w:r>
          </w:p>
        </w:tc>
        <w:tc>
          <w:tcPr>
            <w:tcW w:w="694"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tcPr>
          <w:p w14:paraId="444F9029" w14:textId="00A4F0A0" w:rsidR="008F4E9E" w:rsidRPr="008F4E9E" w:rsidRDefault="008F4E9E" w:rsidP="008F4E9E">
            <w:pPr>
              <w:pStyle w:val="Testotabella"/>
              <w:jc w:val="center"/>
              <w:rPr>
                <w:noProof/>
              </w:rPr>
            </w:pPr>
            <w:r>
              <w:rPr>
                <w:noProof/>
                <w:lang w:val="en-US"/>
              </w:rPr>
              <w:t>SGRU</w:t>
            </w:r>
          </w:p>
        </w:tc>
        <w:tc>
          <w:tcPr>
            <w:tcW w:w="691"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tcPr>
          <w:p w14:paraId="3B5A406C" w14:textId="52AFC8D8" w:rsidR="008F4E9E" w:rsidRPr="008F4E9E" w:rsidRDefault="008F4E9E" w:rsidP="008F4E9E">
            <w:pPr>
              <w:pStyle w:val="Testotabella"/>
              <w:jc w:val="center"/>
              <w:rPr>
                <w:noProof/>
              </w:rPr>
            </w:pPr>
            <w:r>
              <w:rPr>
                <w:noProof/>
                <w:lang w:val="en-US"/>
              </w:rPr>
              <w:t>SGRU</w:t>
            </w:r>
          </w:p>
        </w:tc>
      </w:tr>
      <w:tr w:rsidR="008F4E9E" w:rsidRPr="00195BF8" w14:paraId="3E9C905C" w14:textId="77777777" w:rsidTr="006A6764">
        <w:trPr>
          <w:trHeight w:val="251"/>
        </w:trPr>
        <w:tc>
          <w:tcPr>
            <w:tcW w:w="353" w:type="pct"/>
            <w:vMerge/>
            <w:tcBorders>
              <w:top w:val="single" w:sz="8" w:space="0" w:color="000000"/>
              <w:left w:val="single" w:sz="8" w:space="0" w:color="000000"/>
              <w:bottom w:val="single" w:sz="8" w:space="0" w:color="000000"/>
              <w:right w:val="single" w:sz="8" w:space="0" w:color="000000"/>
            </w:tcBorders>
            <w:vAlign w:val="center"/>
            <w:hideMark/>
          </w:tcPr>
          <w:p w14:paraId="48A730FE" w14:textId="77777777" w:rsidR="008F4E9E" w:rsidRPr="00195BF8" w:rsidRDefault="008F4E9E" w:rsidP="008F4E9E">
            <w:pPr>
              <w:pStyle w:val="Testotabella"/>
              <w:jc w:val="center"/>
              <w:rPr>
                <w:noProof/>
              </w:rPr>
            </w:pPr>
          </w:p>
        </w:tc>
        <w:tc>
          <w:tcPr>
            <w:tcW w:w="21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10F5AC9" w14:textId="155DF920" w:rsidR="008F4E9E" w:rsidRPr="00195BF8" w:rsidRDefault="008F4E9E" w:rsidP="008F4E9E">
            <w:pPr>
              <w:pStyle w:val="Testotabella"/>
              <w:rPr>
                <w:noProof/>
              </w:rPr>
            </w:pPr>
            <w:r w:rsidRPr="00195BF8">
              <w:rPr>
                <w:noProof/>
              </w:rPr>
              <w:t>Decoro degli spazi urbani (f</w:t>
            </w:r>
            <w:r>
              <w:rPr>
                <w:noProof/>
              </w:rPr>
              <w:t>requenza e intensità)</w:t>
            </w:r>
          </w:p>
        </w:tc>
        <w:tc>
          <w:tcPr>
            <w:tcW w:w="493"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7D866FA8" w14:textId="730DA2D0" w:rsidR="008F4E9E" w:rsidRPr="00195BF8" w:rsidRDefault="008F4E9E" w:rsidP="008F4E9E">
            <w:pPr>
              <w:pStyle w:val="Testotabella"/>
              <w:jc w:val="center"/>
              <w:rPr>
                <w:noProof/>
              </w:rPr>
            </w:pPr>
            <w:r>
              <w:rPr>
                <w:noProof/>
                <w:lang w:val="en-US"/>
              </w:rPr>
              <w:t>SGRU</w:t>
            </w:r>
          </w:p>
        </w:tc>
        <w:tc>
          <w:tcPr>
            <w:tcW w:w="615"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297677FE" w14:textId="0F9FD516" w:rsidR="008F4E9E" w:rsidRPr="00195BF8" w:rsidRDefault="008F4E9E" w:rsidP="008F4E9E">
            <w:pPr>
              <w:pStyle w:val="Testotabella"/>
              <w:jc w:val="center"/>
              <w:rPr>
                <w:noProof/>
              </w:rPr>
            </w:pPr>
            <w:r>
              <w:rPr>
                <w:noProof/>
                <w:lang w:val="en-US"/>
              </w:rPr>
              <w:t>SGRU</w:t>
            </w:r>
          </w:p>
        </w:tc>
        <w:tc>
          <w:tcPr>
            <w:tcW w:w="694"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40E61DC5" w14:textId="6778D6CE" w:rsidR="008F4E9E" w:rsidRPr="00195BF8" w:rsidRDefault="008F4E9E" w:rsidP="008F4E9E">
            <w:pPr>
              <w:pStyle w:val="Testotabella"/>
              <w:jc w:val="center"/>
              <w:rPr>
                <w:noProof/>
              </w:rPr>
            </w:pPr>
            <w:r>
              <w:rPr>
                <w:noProof/>
                <w:lang w:val="en-US"/>
              </w:rPr>
              <w:t>SGRU</w:t>
            </w:r>
          </w:p>
        </w:tc>
        <w:tc>
          <w:tcPr>
            <w:tcW w:w="691"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5710E7E1" w14:textId="036F150D" w:rsidR="008F4E9E" w:rsidRPr="00195BF8" w:rsidRDefault="008F4E9E" w:rsidP="008F4E9E">
            <w:pPr>
              <w:pStyle w:val="Testotabella"/>
              <w:jc w:val="center"/>
              <w:rPr>
                <w:noProof/>
              </w:rPr>
            </w:pPr>
            <w:r>
              <w:rPr>
                <w:noProof/>
                <w:lang w:val="en-US"/>
              </w:rPr>
              <w:t>SGRU</w:t>
            </w:r>
          </w:p>
        </w:tc>
      </w:tr>
      <w:tr w:rsidR="008F4E9E" w:rsidRPr="00195BF8" w14:paraId="32D2F821" w14:textId="77777777" w:rsidTr="006A6764">
        <w:trPr>
          <w:trHeight w:val="449"/>
        </w:trPr>
        <w:tc>
          <w:tcPr>
            <w:tcW w:w="353" w:type="pct"/>
            <w:vMerge/>
            <w:tcBorders>
              <w:top w:val="single" w:sz="8" w:space="0" w:color="000000"/>
              <w:left w:val="single" w:sz="8" w:space="0" w:color="000000"/>
              <w:bottom w:val="single" w:sz="8" w:space="0" w:color="000000"/>
              <w:right w:val="single" w:sz="8" w:space="0" w:color="000000"/>
            </w:tcBorders>
            <w:vAlign w:val="center"/>
            <w:hideMark/>
          </w:tcPr>
          <w:p w14:paraId="175AE94C" w14:textId="77777777" w:rsidR="008F4E9E" w:rsidRPr="00195BF8" w:rsidRDefault="008F4E9E" w:rsidP="008F4E9E">
            <w:pPr>
              <w:pStyle w:val="Testotabella"/>
              <w:jc w:val="center"/>
              <w:rPr>
                <w:noProof/>
              </w:rPr>
            </w:pPr>
          </w:p>
        </w:tc>
        <w:tc>
          <w:tcPr>
            <w:tcW w:w="21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15B4D437" w14:textId="0783040B" w:rsidR="008F4E9E" w:rsidRPr="00E94DAB" w:rsidRDefault="008F4E9E" w:rsidP="008F4E9E">
            <w:pPr>
              <w:pStyle w:val="Testotabella"/>
              <w:rPr>
                <w:noProof/>
              </w:rPr>
            </w:pPr>
            <w:r w:rsidRPr="00195BF8">
              <w:rPr>
                <w:noProof/>
              </w:rPr>
              <w:t>Assicurare la compatibilità con a</w:t>
            </w:r>
            <w:r>
              <w:rPr>
                <w:noProof/>
              </w:rPr>
              <w:t>ltre esigenze della vita urbana (condivisione degli spazi, orari, traffico)</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693A8F1" w14:textId="3B978FFF" w:rsidR="008F4E9E" w:rsidRPr="00195BF8" w:rsidRDefault="008F4E9E" w:rsidP="008F4E9E">
            <w:pPr>
              <w:pStyle w:val="Testotabella"/>
              <w:jc w:val="center"/>
              <w:rPr>
                <w:noProof/>
              </w:rPr>
            </w:pPr>
          </w:p>
        </w:tc>
        <w:tc>
          <w:tcPr>
            <w:tcW w:w="615"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29C4F953" w14:textId="4868E4CA" w:rsidR="008F4E9E" w:rsidRPr="00195BF8" w:rsidRDefault="008F4E9E" w:rsidP="008F4E9E">
            <w:pPr>
              <w:pStyle w:val="Testotabella"/>
              <w:jc w:val="center"/>
              <w:rPr>
                <w:noProof/>
              </w:rPr>
            </w:pPr>
            <w:r>
              <w:rPr>
                <w:noProof/>
                <w:lang w:val="en-US"/>
              </w:rPr>
              <w:t>SGRU</w:t>
            </w:r>
          </w:p>
        </w:tc>
        <w:tc>
          <w:tcPr>
            <w:tcW w:w="694"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049D9B7B" w14:textId="1DE59924" w:rsidR="008F4E9E" w:rsidRPr="00195BF8" w:rsidRDefault="008F4E9E" w:rsidP="008F4E9E">
            <w:pPr>
              <w:pStyle w:val="Testotabella"/>
              <w:jc w:val="center"/>
              <w:rPr>
                <w:noProof/>
              </w:rPr>
            </w:pPr>
            <w:r>
              <w:rPr>
                <w:noProof/>
                <w:lang w:val="en-US"/>
              </w:rPr>
              <w:t>SGRU</w:t>
            </w:r>
          </w:p>
        </w:tc>
        <w:tc>
          <w:tcPr>
            <w:tcW w:w="691"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2D62653F" w14:textId="5D702E85" w:rsidR="008F4E9E" w:rsidRPr="00195BF8" w:rsidRDefault="008F4E9E" w:rsidP="008F4E9E">
            <w:pPr>
              <w:pStyle w:val="Testotabella"/>
              <w:jc w:val="center"/>
              <w:rPr>
                <w:noProof/>
              </w:rPr>
            </w:pPr>
            <w:r>
              <w:rPr>
                <w:noProof/>
                <w:lang w:val="en-US"/>
              </w:rPr>
              <w:t>SGRU</w:t>
            </w:r>
          </w:p>
        </w:tc>
      </w:tr>
      <w:tr w:rsidR="008F4E9E" w:rsidRPr="00195BF8" w14:paraId="615EEE1A" w14:textId="77777777" w:rsidTr="006A6764">
        <w:trPr>
          <w:trHeight w:val="257"/>
        </w:trPr>
        <w:tc>
          <w:tcPr>
            <w:tcW w:w="353" w:type="pct"/>
            <w:vMerge/>
            <w:tcBorders>
              <w:top w:val="single" w:sz="8" w:space="0" w:color="000000"/>
              <w:left w:val="single" w:sz="8" w:space="0" w:color="000000"/>
              <w:bottom w:val="single" w:sz="8" w:space="0" w:color="000000"/>
              <w:right w:val="single" w:sz="8" w:space="0" w:color="000000"/>
            </w:tcBorders>
            <w:vAlign w:val="center"/>
            <w:hideMark/>
          </w:tcPr>
          <w:p w14:paraId="6285E673" w14:textId="77777777" w:rsidR="008F4E9E" w:rsidRPr="00195BF8" w:rsidRDefault="008F4E9E" w:rsidP="008F4E9E">
            <w:pPr>
              <w:pStyle w:val="Testotabella"/>
              <w:jc w:val="center"/>
              <w:rPr>
                <w:noProof/>
              </w:rPr>
            </w:pPr>
          </w:p>
        </w:tc>
        <w:tc>
          <w:tcPr>
            <w:tcW w:w="21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45E6A929" w14:textId="682817E3" w:rsidR="008F4E9E" w:rsidRPr="00AF1DDE" w:rsidRDefault="008F4E9E" w:rsidP="008F4E9E">
            <w:pPr>
              <w:pStyle w:val="Testotabella"/>
              <w:rPr>
                <w:noProof/>
              </w:rPr>
            </w:pPr>
            <w:r w:rsidRPr="00AF1DDE">
              <w:rPr>
                <w:noProof/>
              </w:rPr>
              <w:t>Separazione alla fonte di f</w:t>
            </w:r>
            <w:r>
              <w:rPr>
                <w:noProof/>
              </w:rPr>
              <w:t>razioni riciclabili</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7F345D7" w14:textId="7092B182" w:rsidR="008F4E9E" w:rsidRPr="00AF1DDE" w:rsidRDefault="008F4E9E" w:rsidP="008F4E9E">
            <w:pPr>
              <w:pStyle w:val="Testotabella"/>
              <w:jc w:val="center"/>
              <w:rPr>
                <w:noProof/>
              </w:rPr>
            </w:pPr>
          </w:p>
        </w:tc>
        <w:tc>
          <w:tcPr>
            <w:tcW w:w="615"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1ACB0CB2" w14:textId="70BE0E34" w:rsidR="008F4E9E" w:rsidRPr="00195BF8" w:rsidRDefault="008F4E9E" w:rsidP="008F4E9E">
            <w:pPr>
              <w:pStyle w:val="Testotabella"/>
              <w:jc w:val="center"/>
              <w:rPr>
                <w:noProof/>
              </w:rPr>
            </w:pPr>
            <w:r>
              <w:rPr>
                <w:noProof/>
                <w:lang w:val="en-US"/>
              </w:rPr>
              <w:t>SGRU</w:t>
            </w:r>
          </w:p>
        </w:tc>
        <w:tc>
          <w:tcPr>
            <w:tcW w:w="694"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7AB2B5FE" w14:textId="3016B95A" w:rsidR="008F4E9E" w:rsidRPr="00195BF8" w:rsidRDefault="008F4E9E" w:rsidP="008F4E9E">
            <w:pPr>
              <w:pStyle w:val="Testotabella"/>
              <w:jc w:val="center"/>
              <w:rPr>
                <w:noProof/>
              </w:rPr>
            </w:pPr>
            <w:r>
              <w:rPr>
                <w:noProof/>
                <w:lang w:val="en-US"/>
              </w:rPr>
              <w:t>SGRU</w:t>
            </w:r>
          </w:p>
        </w:tc>
        <w:tc>
          <w:tcPr>
            <w:tcW w:w="691"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34FCCD5B" w14:textId="7C51C2AC" w:rsidR="008F4E9E" w:rsidRPr="00195BF8" w:rsidRDefault="008F4E9E" w:rsidP="008F4E9E">
            <w:pPr>
              <w:pStyle w:val="Testotabella"/>
              <w:jc w:val="center"/>
              <w:rPr>
                <w:noProof/>
              </w:rPr>
            </w:pPr>
            <w:r>
              <w:rPr>
                <w:noProof/>
                <w:lang w:val="en-US"/>
              </w:rPr>
              <w:t>SGRU</w:t>
            </w:r>
          </w:p>
        </w:tc>
      </w:tr>
      <w:tr w:rsidR="008F4E9E" w:rsidRPr="00195BF8" w14:paraId="765D8A13" w14:textId="77777777" w:rsidTr="006A6764">
        <w:trPr>
          <w:trHeight w:val="257"/>
        </w:trPr>
        <w:tc>
          <w:tcPr>
            <w:tcW w:w="353" w:type="pct"/>
            <w:vMerge/>
            <w:tcBorders>
              <w:top w:val="single" w:sz="8" w:space="0" w:color="000000"/>
              <w:left w:val="single" w:sz="8" w:space="0" w:color="000000"/>
              <w:bottom w:val="single" w:sz="8" w:space="0" w:color="000000"/>
              <w:right w:val="single" w:sz="8" w:space="0" w:color="000000"/>
            </w:tcBorders>
            <w:vAlign w:val="center"/>
          </w:tcPr>
          <w:p w14:paraId="3C04170E" w14:textId="77777777" w:rsidR="008F4E9E" w:rsidRPr="00195BF8" w:rsidRDefault="008F4E9E" w:rsidP="008F4E9E">
            <w:pPr>
              <w:pStyle w:val="Testotabella"/>
              <w:jc w:val="center"/>
              <w:rPr>
                <w:noProof/>
              </w:rPr>
            </w:pPr>
          </w:p>
        </w:tc>
        <w:tc>
          <w:tcPr>
            <w:tcW w:w="21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3F53D4B" w14:textId="23E31641" w:rsidR="008F4E9E" w:rsidRPr="00AF1DDE" w:rsidRDefault="008F4E9E" w:rsidP="008F4E9E">
            <w:pPr>
              <w:pStyle w:val="Testotabella"/>
              <w:rPr>
                <w:noProof/>
              </w:rPr>
            </w:pPr>
            <w:r>
              <w:rPr>
                <w:noProof/>
              </w:rPr>
              <w:t>Raggiungimento livelli minimi di raccolta differenziata</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23D2B7A" w14:textId="77777777" w:rsidR="008F4E9E" w:rsidRPr="00AF1DDE" w:rsidRDefault="008F4E9E" w:rsidP="008F4E9E">
            <w:pPr>
              <w:pStyle w:val="Testotabella"/>
              <w:jc w:val="center"/>
              <w:rPr>
                <w:noProof/>
              </w:rPr>
            </w:pPr>
          </w:p>
        </w:tc>
        <w:tc>
          <w:tcPr>
            <w:tcW w:w="61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FB9E13B" w14:textId="77777777" w:rsidR="008F4E9E" w:rsidRPr="008F4E9E" w:rsidRDefault="008F4E9E" w:rsidP="008F4E9E">
            <w:pPr>
              <w:pStyle w:val="Testotabella"/>
              <w:jc w:val="center"/>
              <w:rPr>
                <w:noProof/>
              </w:rPr>
            </w:pPr>
          </w:p>
        </w:tc>
        <w:tc>
          <w:tcPr>
            <w:tcW w:w="694"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tcPr>
          <w:p w14:paraId="09025C4B" w14:textId="5AD5CDF6" w:rsidR="008F4E9E" w:rsidRPr="008F4E9E" w:rsidRDefault="008F4E9E" w:rsidP="008F4E9E">
            <w:pPr>
              <w:pStyle w:val="Testotabella"/>
              <w:jc w:val="center"/>
              <w:rPr>
                <w:noProof/>
              </w:rPr>
            </w:pPr>
            <w:r>
              <w:rPr>
                <w:noProof/>
                <w:lang w:val="en-US"/>
              </w:rPr>
              <w:t>SGRU</w:t>
            </w:r>
          </w:p>
        </w:tc>
        <w:tc>
          <w:tcPr>
            <w:tcW w:w="691"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tcPr>
          <w:p w14:paraId="3A9B6424" w14:textId="77D66B3E" w:rsidR="008F4E9E" w:rsidRPr="008F4E9E" w:rsidRDefault="008F4E9E" w:rsidP="008F4E9E">
            <w:pPr>
              <w:pStyle w:val="Testotabella"/>
              <w:jc w:val="center"/>
              <w:rPr>
                <w:noProof/>
              </w:rPr>
            </w:pPr>
            <w:r>
              <w:rPr>
                <w:noProof/>
                <w:lang w:val="en-US"/>
              </w:rPr>
              <w:t>SGRU</w:t>
            </w:r>
          </w:p>
        </w:tc>
      </w:tr>
      <w:tr w:rsidR="008F4E9E" w:rsidRPr="00195BF8" w14:paraId="3B761F19" w14:textId="77777777" w:rsidTr="006A6764">
        <w:trPr>
          <w:trHeight w:val="237"/>
        </w:trPr>
        <w:tc>
          <w:tcPr>
            <w:tcW w:w="353" w:type="pct"/>
            <w:vMerge/>
            <w:tcBorders>
              <w:top w:val="single" w:sz="8" w:space="0" w:color="000000"/>
              <w:left w:val="single" w:sz="8" w:space="0" w:color="000000"/>
              <w:bottom w:val="single" w:sz="8" w:space="0" w:color="000000"/>
              <w:right w:val="single" w:sz="8" w:space="0" w:color="000000"/>
            </w:tcBorders>
            <w:vAlign w:val="center"/>
            <w:hideMark/>
          </w:tcPr>
          <w:p w14:paraId="11E157AE" w14:textId="77777777" w:rsidR="008F4E9E" w:rsidRPr="00195BF8" w:rsidRDefault="008F4E9E" w:rsidP="008F4E9E">
            <w:pPr>
              <w:pStyle w:val="Testotabella"/>
              <w:jc w:val="center"/>
              <w:rPr>
                <w:noProof/>
              </w:rPr>
            </w:pPr>
          </w:p>
        </w:tc>
        <w:tc>
          <w:tcPr>
            <w:tcW w:w="21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CED67D6" w14:textId="0CD41007" w:rsidR="008F4E9E" w:rsidRPr="00AF1DDE" w:rsidRDefault="008F4E9E" w:rsidP="008F4E9E">
            <w:pPr>
              <w:pStyle w:val="Testotabella"/>
              <w:rPr>
                <w:noProof/>
              </w:rPr>
            </w:pPr>
            <w:r>
              <w:rPr>
                <w:noProof/>
              </w:rPr>
              <w:t>Predisporre s</w:t>
            </w:r>
            <w:r w:rsidRPr="00AF1DDE">
              <w:rPr>
                <w:noProof/>
              </w:rPr>
              <w:t xml:space="preserve">ervizi a chiamata (es. </w:t>
            </w:r>
            <w:r>
              <w:rPr>
                <w:noProof/>
              </w:rPr>
              <w:t>ingombranti)</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2331B18" w14:textId="03AD5C40" w:rsidR="008F4E9E" w:rsidRPr="00AF1DDE" w:rsidRDefault="008F4E9E" w:rsidP="008F4E9E">
            <w:pPr>
              <w:pStyle w:val="Testotabella"/>
              <w:jc w:val="center"/>
              <w:rPr>
                <w:noProof/>
              </w:rPr>
            </w:pPr>
          </w:p>
        </w:tc>
        <w:tc>
          <w:tcPr>
            <w:tcW w:w="615"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tcPr>
          <w:p w14:paraId="5DA354AA" w14:textId="4E401D4A" w:rsidR="008F4E9E" w:rsidRPr="00195BF8" w:rsidRDefault="008F4E9E" w:rsidP="008F4E9E">
            <w:pPr>
              <w:pStyle w:val="Testotabella"/>
              <w:jc w:val="center"/>
              <w:rPr>
                <w:noProof/>
              </w:rPr>
            </w:pPr>
            <w:r>
              <w:rPr>
                <w:noProof/>
              </w:rPr>
              <w:t>(SGRU)</w:t>
            </w:r>
          </w:p>
        </w:tc>
        <w:tc>
          <w:tcPr>
            <w:tcW w:w="694"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5DF3DBA4" w14:textId="68C63DE6" w:rsidR="008F4E9E" w:rsidRPr="00195BF8" w:rsidRDefault="008F4E9E" w:rsidP="008F4E9E">
            <w:pPr>
              <w:pStyle w:val="Testotabella"/>
              <w:jc w:val="center"/>
              <w:rPr>
                <w:noProof/>
              </w:rPr>
            </w:pPr>
            <w:r>
              <w:rPr>
                <w:noProof/>
                <w:lang w:val="en-US"/>
              </w:rPr>
              <w:t>SGRU</w:t>
            </w:r>
          </w:p>
        </w:tc>
        <w:tc>
          <w:tcPr>
            <w:tcW w:w="691"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6F3E1345" w14:textId="02E82F85" w:rsidR="008F4E9E" w:rsidRPr="00195BF8" w:rsidRDefault="008F4E9E" w:rsidP="008F4E9E">
            <w:pPr>
              <w:pStyle w:val="Testotabella"/>
              <w:jc w:val="center"/>
              <w:rPr>
                <w:noProof/>
              </w:rPr>
            </w:pPr>
            <w:r>
              <w:rPr>
                <w:noProof/>
                <w:lang w:val="en-US"/>
              </w:rPr>
              <w:t>SGRU</w:t>
            </w:r>
          </w:p>
        </w:tc>
      </w:tr>
      <w:tr w:rsidR="008F4E9E" w:rsidRPr="00195BF8" w14:paraId="3BBF877C" w14:textId="77777777" w:rsidTr="006A6764">
        <w:trPr>
          <w:trHeight w:val="175"/>
        </w:trPr>
        <w:tc>
          <w:tcPr>
            <w:tcW w:w="353"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extDirection w:val="btLr"/>
            <w:hideMark/>
          </w:tcPr>
          <w:p w14:paraId="3D93E49D" w14:textId="519A5DE7" w:rsidR="008F4E9E" w:rsidRPr="00195BF8" w:rsidRDefault="008F4E9E" w:rsidP="008F4E9E">
            <w:pPr>
              <w:pStyle w:val="Testotabella"/>
              <w:jc w:val="center"/>
              <w:rPr>
                <w:noProof/>
              </w:rPr>
            </w:pPr>
            <w:r w:rsidRPr="00195BF8">
              <w:rPr>
                <w:noProof/>
                <w:lang w:val="en-US"/>
              </w:rPr>
              <w:t xml:space="preserve">M2 </w:t>
            </w:r>
            <w:r>
              <w:rPr>
                <w:noProof/>
                <w:lang w:val="en-US"/>
              </w:rPr>
              <w:t>–</w:t>
            </w:r>
            <w:r w:rsidRPr="00195BF8">
              <w:rPr>
                <w:noProof/>
                <w:lang w:val="en-US"/>
              </w:rPr>
              <w:t xml:space="preserve"> </w:t>
            </w:r>
            <w:r>
              <w:rPr>
                <w:noProof/>
                <w:lang w:val="en-US"/>
              </w:rPr>
              <w:t>Trattamento e smaltimento</w:t>
            </w:r>
          </w:p>
        </w:tc>
        <w:tc>
          <w:tcPr>
            <w:tcW w:w="21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DB62F67" w14:textId="236E5949" w:rsidR="008F4E9E" w:rsidRPr="00AF1DDE" w:rsidRDefault="008F4E9E" w:rsidP="008F4E9E">
            <w:pPr>
              <w:pStyle w:val="Testotabella"/>
              <w:rPr>
                <w:noProof/>
              </w:rPr>
            </w:pPr>
            <w:r w:rsidRPr="00AF1DDE">
              <w:rPr>
                <w:noProof/>
              </w:rPr>
              <w:t xml:space="preserve">Assicurare una destinazione adeguata a </w:t>
            </w:r>
            <w:r>
              <w:rPr>
                <w:noProof/>
              </w:rPr>
              <w:t>tutti i RU</w:t>
            </w:r>
          </w:p>
        </w:tc>
        <w:tc>
          <w:tcPr>
            <w:tcW w:w="493"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5FF93ECE" w14:textId="4D50E5CD" w:rsidR="008F4E9E" w:rsidRPr="00195BF8" w:rsidRDefault="008F4E9E" w:rsidP="008F4E9E">
            <w:pPr>
              <w:pStyle w:val="Testotabella"/>
              <w:jc w:val="center"/>
              <w:rPr>
                <w:noProof/>
              </w:rPr>
            </w:pPr>
            <w:r>
              <w:rPr>
                <w:noProof/>
                <w:lang w:val="en-US"/>
              </w:rPr>
              <w:t>SGRU</w:t>
            </w:r>
          </w:p>
        </w:tc>
        <w:tc>
          <w:tcPr>
            <w:tcW w:w="615"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77EB450B" w14:textId="4E52C556" w:rsidR="008F4E9E" w:rsidRPr="00195BF8" w:rsidRDefault="008F4E9E" w:rsidP="008F4E9E">
            <w:pPr>
              <w:pStyle w:val="Testotabella"/>
              <w:jc w:val="center"/>
              <w:rPr>
                <w:noProof/>
              </w:rPr>
            </w:pPr>
            <w:r>
              <w:rPr>
                <w:noProof/>
                <w:lang w:val="en-US"/>
              </w:rPr>
              <w:t>PR</w:t>
            </w:r>
          </w:p>
        </w:tc>
        <w:tc>
          <w:tcPr>
            <w:tcW w:w="694"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17C4A4FE" w14:textId="175FFC6F" w:rsidR="008F4E9E" w:rsidRPr="00195BF8" w:rsidRDefault="008F4E9E" w:rsidP="008F4E9E">
            <w:pPr>
              <w:pStyle w:val="Testotabella"/>
              <w:jc w:val="center"/>
              <w:rPr>
                <w:noProof/>
              </w:rPr>
            </w:pPr>
            <w:r>
              <w:rPr>
                <w:noProof/>
                <w:lang w:val="en-US"/>
              </w:rPr>
              <w:t>PR</w:t>
            </w:r>
          </w:p>
        </w:tc>
        <w:tc>
          <w:tcPr>
            <w:tcW w:w="691"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6DFA709F" w14:textId="37952C08" w:rsidR="008F4E9E" w:rsidRPr="00195BF8" w:rsidRDefault="008F4E9E" w:rsidP="008F4E9E">
            <w:pPr>
              <w:pStyle w:val="Testotabella"/>
              <w:jc w:val="center"/>
              <w:rPr>
                <w:noProof/>
              </w:rPr>
            </w:pPr>
            <w:r>
              <w:rPr>
                <w:noProof/>
                <w:lang w:val="en-US"/>
              </w:rPr>
              <w:t>PNGR</w:t>
            </w:r>
            <w:r w:rsidR="00F9376A">
              <w:rPr>
                <w:noProof/>
                <w:lang w:val="en-US"/>
              </w:rPr>
              <w:t>/PR</w:t>
            </w:r>
          </w:p>
        </w:tc>
      </w:tr>
      <w:tr w:rsidR="008F4E9E" w:rsidRPr="00195BF8" w14:paraId="0414E22E" w14:textId="77777777" w:rsidTr="006A6764">
        <w:trPr>
          <w:trHeight w:val="175"/>
        </w:trPr>
        <w:tc>
          <w:tcPr>
            <w:tcW w:w="353" w:type="pct"/>
            <w:vMerge/>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extDirection w:val="btLr"/>
          </w:tcPr>
          <w:p w14:paraId="414D89B0" w14:textId="77777777" w:rsidR="008F4E9E" w:rsidRPr="00195BF8" w:rsidRDefault="008F4E9E" w:rsidP="008F4E9E">
            <w:pPr>
              <w:pStyle w:val="Testotabella"/>
              <w:jc w:val="center"/>
              <w:rPr>
                <w:noProof/>
                <w:lang w:val="en-US"/>
              </w:rPr>
            </w:pPr>
          </w:p>
        </w:tc>
        <w:tc>
          <w:tcPr>
            <w:tcW w:w="21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56A802E6" w14:textId="7F57DC5E" w:rsidR="008F4E9E" w:rsidRPr="00AF1DDE" w:rsidRDefault="008F4E9E" w:rsidP="008F4E9E">
            <w:pPr>
              <w:pStyle w:val="Testotabella"/>
              <w:rPr>
                <w:noProof/>
              </w:rPr>
            </w:pPr>
            <w:r>
              <w:rPr>
                <w:noProof/>
              </w:rPr>
              <w:t>Dotazione impiantistica sufficiente</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16E421C" w14:textId="77777777" w:rsidR="008F4E9E" w:rsidRPr="00195BF8" w:rsidRDefault="008F4E9E" w:rsidP="008F4E9E">
            <w:pPr>
              <w:pStyle w:val="Testotabella"/>
              <w:jc w:val="center"/>
              <w:rPr>
                <w:noProof/>
                <w:lang w:val="en-US"/>
              </w:rPr>
            </w:pPr>
          </w:p>
        </w:tc>
        <w:tc>
          <w:tcPr>
            <w:tcW w:w="615"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tcPr>
          <w:p w14:paraId="4DEAE8A3" w14:textId="30C319BF" w:rsidR="008F4E9E" w:rsidRPr="00195BF8" w:rsidRDefault="008F4E9E" w:rsidP="008F4E9E">
            <w:pPr>
              <w:pStyle w:val="Testotabella"/>
              <w:jc w:val="center"/>
              <w:rPr>
                <w:noProof/>
                <w:lang w:val="en-US"/>
              </w:rPr>
            </w:pPr>
            <w:r>
              <w:rPr>
                <w:noProof/>
                <w:lang w:val="en-US"/>
              </w:rPr>
              <w:t>PR</w:t>
            </w:r>
          </w:p>
        </w:tc>
        <w:tc>
          <w:tcPr>
            <w:tcW w:w="694"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tcPr>
          <w:p w14:paraId="47EBA575" w14:textId="1A026148" w:rsidR="008F4E9E" w:rsidRPr="00195BF8" w:rsidRDefault="008F4E9E" w:rsidP="008F4E9E">
            <w:pPr>
              <w:pStyle w:val="Testotabella"/>
              <w:jc w:val="center"/>
              <w:rPr>
                <w:noProof/>
                <w:lang w:val="en-US"/>
              </w:rPr>
            </w:pPr>
            <w:r>
              <w:rPr>
                <w:noProof/>
                <w:lang w:val="en-US"/>
              </w:rPr>
              <w:t>PR</w:t>
            </w:r>
          </w:p>
        </w:tc>
        <w:tc>
          <w:tcPr>
            <w:tcW w:w="691"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tcPr>
          <w:p w14:paraId="36375717" w14:textId="7B5DF04D" w:rsidR="008F4E9E" w:rsidRPr="00195BF8" w:rsidRDefault="008F4E9E" w:rsidP="008F4E9E">
            <w:pPr>
              <w:pStyle w:val="Testotabella"/>
              <w:jc w:val="center"/>
              <w:rPr>
                <w:noProof/>
                <w:lang w:val="en-US"/>
              </w:rPr>
            </w:pPr>
            <w:r>
              <w:rPr>
                <w:noProof/>
                <w:lang w:val="en-US"/>
              </w:rPr>
              <w:t>PNGR</w:t>
            </w:r>
            <w:r w:rsidR="00F9376A">
              <w:rPr>
                <w:noProof/>
                <w:lang w:val="en-US"/>
              </w:rPr>
              <w:t>/PR</w:t>
            </w:r>
          </w:p>
        </w:tc>
      </w:tr>
      <w:tr w:rsidR="008F4E9E" w:rsidRPr="00195BF8" w14:paraId="71E1B51B" w14:textId="77777777" w:rsidTr="008F4E9E">
        <w:trPr>
          <w:trHeight w:val="222"/>
        </w:trPr>
        <w:tc>
          <w:tcPr>
            <w:tcW w:w="353" w:type="pct"/>
            <w:vMerge/>
            <w:tcBorders>
              <w:top w:val="single" w:sz="8" w:space="0" w:color="000000"/>
              <w:left w:val="single" w:sz="8" w:space="0" w:color="000000"/>
              <w:bottom w:val="single" w:sz="8" w:space="0" w:color="000000"/>
              <w:right w:val="single" w:sz="8" w:space="0" w:color="000000"/>
            </w:tcBorders>
            <w:vAlign w:val="center"/>
            <w:hideMark/>
          </w:tcPr>
          <w:p w14:paraId="3DBD8679" w14:textId="77777777" w:rsidR="008F4E9E" w:rsidRPr="00195BF8" w:rsidRDefault="008F4E9E" w:rsidP="008F4E9E">
            <w:pPr>
              <w:pStyle w:val="Testotabella"/>
              <w:jc w:val="center"/>
              <w:rPr>
                <w:noProof/>
              </w:rPr>
            </w:pPr>
          </w:p>
        </w:tc>
        <w:tc>
          <w:tcPr>
            <w:tcW w:w="21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2ADCB569" w14:textId="03F78C38" w:rsidR="008F4E9E" w:rsidRPr="00AF1DDE" w:rsidRDefault="008F4E9E" w:rsidP="008F4E9E">
            <w:pPr>
              <w:pStyle w:val="Testotabella"/>
              <w:rPr>
                <w:noProof/>
              </w:rPr>
            </w:pPr>
            <w:r w:rsidRPr="00AF1DDE">
              <w:rPr>
                <w:noProof/>
              </w:rPr>
              <w:t xml:space="preserve">Prevenire </w:t>
            </w:r>
            <w:r>
              <w:rPr>
                <w:noProof/>
              </w:rPr>
              <w:t>smaltimento</w:t>
            </w:r>
            <w:r w:rsidRPr="00AF1DDE">
              <w:rPr>
                <w:noProof/>
              </w:rPr>
              <w:t xml:space="preserve"> illegal</w:t>
            </w:r>
            <w:r>
              <w:rPr>
                <w:noProof/>
              </w:rPr>
              <w:t>e</w:t>
            </w:r>
            <w:r w:rsidRPr="00AF1DDE">
              <w:rPr>
                <w:noProof/>
              </w:rPr>
              <w:t xml:space="preserve"> ed e</w:t>
            </w:r>
            <w:r>
              <w:rPr>
                <w:noProof/>
              </w:rPr>
              <w:t>xport</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6479719" w14:textId="581DCEBE" w:rsidR="008F4E9E" w:rsidRPr="00AF1DDE" w:rsidRDefault="008F4E9E" w:rsidP="008F4E9E">
            <w:pPr>
              <w:pStyle w:val="Testotabella"/>
              <w:jc w:val="center"/>
              <w:rPr>
                <w:noProof/>
              </w:rPr>
            </w:pPr>
          </w:p>
        </w:tc>
        <w:tc>
          <w:tcPr>
            <w:tcW w:w="61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37C7C04" w14:textId="31E26196" w:rsidR="008F4E9E" w:rsidRPr="00195BF8" w:rsidRDefault="008F4E9E" w:rsidP="008F4E9E">
            <w:pPr>
              <w:pStyle w:val="Testotabella"/>
              <w:jc w:val="center"/>
              <w:rPr>
                <w:noProof/>
              </w:rPr>
            </w:pPr>
          </w:p>
        </w:tc>
        <w:tc>
          <w:tcPr>
            <w:tcW w:w="69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9AE6871" w14:textId="54C69321" w:rsidR="008F4E9E" w:rsidRPr="00195BF8" w:rsidRDefault="008F4E9E" w:rsidP="008F4E9E">
            <w:pPr>
              <w:pStyle w:val="Testotabella"/>
              <w:jc w:val="center"/>
              <w:rPr>
                <w:noProof/>
              </w:rPr>
            </w:pPr>
          </w:p>
        </w:tc>
        <w:tc>
          <w:tcPr>
            <w:tcW w:w="691"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2E9795D" w14:textId="61073872" w:rsidR="008F4E9E" w:rsidRPr="00195BF8" w:rsidRDefault="008F4E9E" w:rsidP="008F4E9E">
            <w:pPr>
              <w:pStyle w:val="Testotabella"/>
              <w:jc w:val="center"/>
              <w:rPr>
                <w:noProof/>
              </w:rPr>
            </w:pPr>
          </w:p>
        </w:tc>
      </w:tr>
      <w:tr w:rsidR="008F4E9E" w:rsidRPr="00195BF8" w14:paraId="58DFA9C9" w14:textId="77777777" w:rsidTr="006A6764">
        <w:trPr>
          <w:trHeight w:val="239"/>
        </w:trPr>
        <w:tc>
          <w:tcPr>
            <w:tcW w:w="353" w:type="pct"/>
            <w:vMerge/>
            <w:tcBorders>
              <w:top w:val="single" w:sz="8" w:space="0" w:color="000000"/>
              <w:left w:val="single" w:sz="8" w:space="0" w:color="000000"/>
              <w:bottom w:val="single" w:sz="8" w:space="0" w:color="000000"/>
              <w:right w:val="single" w:sz="8" w:space="0" w:color="000000"/>
            </w:tcBorders>
            <w:vAlign w:val="center"/>
            <w:hideMark/>
          </w:tcPr>
          <w:p w14:paraId="7AEDC238" w14:textId="77777777" w:rsidR="008F4E9E" w:rsidRPr="00195BF8" w:rsidRDefault="008F4E9E" w:rsidP="008F4E9E">
            <w:pPr>
              <w:pStyle w:val="Testotabella"/>
              <w:jc w:val="center"/>
              <w:rPr>
                <w:noProof/>
              </w:rPr>
            </w:pPr>
          </w:p>
        </w:tc>
        <w:tc>
          <w:tcPr>
            <w:tcW w:w="21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E40D077" w14:textId="3DAE529B" w:rsidR="008F4E9E" w:rsidRPr="00AF1DDE" w:rsidRDefault="008F4E9E" w:rsidP="008F4E9E">
            <w:pPr>
              <w:pStyle w:val="Testotabella"/>
              <w:rPr>
                <w:noProof/>
              </w:rPr>
            </w:pPr>
            <w:r w:rsidRPr="00AF1DDE">
              <w:rPr>
                <w:noProof/>
              </w:rPr>
              <w:t>MInimizzare il ricorso alla di</w:t>
            </w:r>
            <w:r>
              <w:rPr>
                <w:noProof/>
              </w:rPr>
              <w:t>scarica</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5D1C139" w14:textId="01548FDF" w:rsidR="008F4E9E" w:rsidRPr="00195BF8" w:rsidRDefault="008F4E9E" w:rsidP="008F4E9E">
            <w:pPr>
              <w:pStyle w:val="Testotabella"/>
              <w:jc w:val="center"/>
              <w:rPr>
                <w:noProof/>
              </w:rPr>
            </w:pPr>
          </w:p>
        </w:tc>
        <w:tc>
          <w:tcPr>
            <w:tcW w:w="61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AEE781B" w14:textId="63CE6E07" w:rsidR="008F4E9E" w:rsidRPr="00195BF8" w:rsidRDefault="008F4E9E" w:rsidP="008F4E9E">
            <w:pPr>
              <w:pStyle w:val="Testotabella"/>
              <w:jc w:val="center"/>
              <w:rPr>
                <w:noProof/>
              </w:rPr>
            </w:pPr>
          </w:p>
        </w:tc>
        <w:tc>
          <w:tcPr>
            <w:tcW w:w="69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98279D4" w14:textId="660B8A88" w:rsidR="008F4E9E" w:rsidRPr="00195BF8" w:rsidRDefault="008F4E9E" w:rsidP="008F4E9E">
            <w:pPr>
              <w:pStyle w:val="Testotabella"/>
              <w:jc w:val="center"/>
              <w:rPr>
                <w:noProof/>
              </w:rPr>
            </w:pPr>
          </w:p>
        </w:tc>
        <w:tc>
          <w:tcPr>
            <w:tcW w:w="691"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5D888192" w14:textId="10674D42" w:rsidR="008F4E9E" w:rsidRPr="00195BF8" w:rsidRDefault="008F4E9E" w:rsidP="008F4E9E">
            <w:pPr>
              <w:pStyle w:val="Testotabella"/>
              <w:jc w:val="center"/>
              <w:rPr>
                <w:noProof/>
              </w:rPr>
            </w:pPr>
            <w:r>
              <w:rPr>
                <w:noProof/>
                <w:lang w:val="en-US"/>
              </w:rPr>
              <w:t>SGRU</w:t>
            </w:r>
          </w:p>
        </w:tc>
      </w:tr>
      <w:tr w:rsidR="008F4E9E" w:rsidRPr="00195BF8" w14:paraId="45C2AA9C" w14:textId="77777777" w:rsidTr="006A6764">
        <w:trPr>
          <w:trHeight w:val="115"/>
        </w:trPr>
        <w:tc>
          <w:tcPr>
            <w:tcW w:w="353" w:type="pct"/>
            <w:vMerge/>
            <w:tcBorders>
              <w:top w:val="single" w:sz="8" w:space="0" w:color="000000"/>
              <w:left w:val="single" w:sz="8" w:space="0" w:color="000000"/>
              <w:bottom w:val="single" w:sz="8" w:space="0" w:color="000000"/>
              <w:right w:val="single" w:sz="8" w:space="0" w:color="000000"/>
            </w:tcBorders>
            <w:vAlign w:val="center"/>
            <w:hideMark/>
          </w:tcPr>
          <w:p w14:paraId="17816581" w14:textId="77777777" w:rsidR="008F4E9E" w:rsidRPr="00195BF8" w:rsidRDefault="008F4E9E" w:rsidP="008F4E9E">
            <w:pPr>
              <w:pStyle w:val="Testotabella"/>
              <w:jc w:val="center"/>
              <w:rPr>
                <w:noProof/>
              </w:rPr>
            </w:pPr>
          </w:p>
        </w:tc>
        <w:tc>
          <w:tcPr>
            <w:tcW w:w="21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A1FC567" w14:textId="168FFB6D" w:rsidR="008F4E9E" w:rsidRPr="00AF1DDE" w:rsidRDefault="008F4E9E" w:rsidP="008F4E9E">
            <w:pPr>
              <w:pStyle w:val="Testotabella"/>
              <w:rPr>
                <w:noProof/>
              </w:rPr>
            </w:pPr>
            <w:r w:rsidRPr="00AF1DDE">
              <w:rPr>
                <w:noProof/>
              </w:rPr>
              <w:t>Recuperare energia e materiali secon</w:t>
            </w:r>
            <w:r>
              <w:rPr>
                <w:noProof/>
              </w:rPr>
              <w:t>dari (downcycling)</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9C3E594" w14:textId="7B7FCEC6" w:rsidR="008F4E9E" w:rsidRPr="00AF1DDE" w:rsidRDefault="008F4E9E" w:rsidP="008F4E9E">
            <w:pPr>
              <w:pStyle w:val="Testotabella"/>
              <w:jc w:val="center"/>
              <w:rPr>
                <w:noProof/>
              </w:rPr>
            </w:pPr>
          </w:p>
        </w:tc>
        <w:tc>
          <w:tcPr>
            <w:tcW w:w="61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B4B42F2" w14:textId="015FEE98" w:rsidR="008F4E9E" w:rsidRPr="00195BF8" w:rsidRDefault="008F4E9E" w:rsidP="008F4E9E">
            <w:pPr>
              <w:pStyle w:val="Testotabella"/>
              <w:jc w:val="center"/>
              <w:rPr>
                <w:noProof/>
              </w:rPr>
            </w:pPr>
          </w:p>
        </w:tc>
        <w:tc>
          <w:tcPr>
            <w:tcW w:w="694"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21541223" w14:textId="519126EB" w:rsidR="008F4E9E" w:rsidRPr="00195BF8" w:rsidRDefault="008A3A89" w:rsidP="008F4E9E">
            <w:pPr>
              <w:pStyle w:val="Testotabella"/>
              <w:jc w:val="center"/>
              <w:rPr>
                <w:noProof/>
              </w:rPr>
            </w:pPr>
            <w:r>
              <w:rPr>
                <w:noProof/>
                <w:lang w:val="en-US"/>
              </w:rPr>
              <w:t>SGRU</w:t>
            </w:r>
          </w:p>
        </w:tc>
        <w:tc>
          <w:tcPr>
            <w:tcW w:w="691"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3148827C" w14:textId="42C23792" w:rsidR="008F4E9E" w:rsidRPr="00195BF8" w:rsidRDefault="008A3A89" w:rsidP="008F4E9E">
            <w:pPr>
              <w:pStyle w:val="Testotabella"/>
              <w:jc w:val="center"/>
              <w:rPr>
                <w:noProof/>
              </w:rPr>
            </w:pPr>
            <w:r>
              <w:rPr>
                <w:noProof/>
                <w:lang w:val="en-US"/>
              </w:rPr>
              <w:t>SGRU</w:t>
            </w:r>
          </w:p>
        </w:tc>
      </w:tr>
      <w:tr w:rsidR="008F4E9E" w:rsidRPr="00195BF8" w14:paraId="703A2889" w14:textId="77777777" w:rsidTr="006A6764">
        <w:trPr>
          <w:trHeight w:val="183"/>
        </w:trPr>
        <w:tc>
          <w:tcPr>
            <w:tcW w:w="353" w:type="pct"/>
            <w:vMerge/>
            <w:tcBorders>
              <w:top w:val="single" w:sz="8" w:space="0" w:color="000000"/>
              <w:left w:val="single" w:sz="8" w:space="0" w:color="000000"/>
              <w:bottom w:val="single" w:sz="8" w:space="0" w:color="000000"/>
              <w:right w:val="single" w:sz="8" w:space="0" w:color="000000"/>
            </w:tcBorders>
            <w:vAlign w:val="center"/>
            <w:hideMark/>
          </w:tcPr>
          <w:p w14:paraId="5817FB29" w14:textId="77777777" w:rsidR="008F4E9E" w:rsidRPr="00195BF8" w:rsidRDefault="008F4E9E" w:rsidP="008F4E9E">
            <w:pPr>
              <w:pStyle w:val="Testotabella"/>
              <w:jc w:val="center"/>
              <w:rPr>
                <w:noProof/>
              </w:rPr>
            </w:pPr>
          </w:p>
        </w:tc>
        <w:tc>
          <w:tcPr>
            <w:tcW w:w="21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2B0B4197" w14:textId="6C28338C" w:rsidR="008F4E9E" w:rsidRPr="00AF1DDE" w:rsidRDefault="008F4E9E" w:rsidP="008F4E9E">
            <w:pPr>
              <w:pStyle w:val="Testotabella"/>
              <w:rPr>
                <w:noProof/>
              </w:rPr>
            </w:pPr>
            <w:r w:rsidRPr="00AF1DDE">
              <w:rPr>
                <w:noProof/>
              </w:rPr>
              <w:t xml:space="preserve">Interecettare I “rifiuti ultimi” di </w:t>
            </w:r>
            <w:r>
              <w:rPr>
                <w:noProof/>
              </w:rPr>
              <w:t>origine produttiva</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486DE82" w14:textId="508556DC" w:rsidR="008F4E9E" w:rsidRPr="00AF1DDE" w:rsidRDefault="008F4E9E" w:rsidP="008F4E9E">
            <w:pPr>
              <w:pStyle w:val="Testotabella"/>
              <w:jc w:val="center"/>
              <w:rPr>
                <w:noProof/>
              </w:rPr>
            </w:pPr>
          </w:p>
        </w:tc>
        <w:tc>
          <w:tcPr>
            <w:tcW w:w="61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5130601" w14:textId="266213CF" w:rsidR="008F4E9E" w:rsidRPr="00AF1DDE" w:rsidRDefault="008F4E9E" w:rsidP="008F4E9E">
            <w:pPr>
              <w:pStyle w:val="Testotabella"/>
              <w:jc w:val="center"/>
              <w:rPr>
                <w:noProof/>
              </w:rPr>
            </w:pPr>
          </w:p>
        </w:tc>
        <w:tc>
          <w:tcPr>
            <w:tcW w:w="694"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55DA39F7" w14:textId="2FDAB08F" w:rsidR="008F4E9E" w:rsidRPr="00CB4FB8" w:rsidRDefault="008F4E9E" w:rsidP="008F4E9E">
            <w:pPr>
              <w:pStyle w:val="Testotabella"/>
              <w:jc w:val="center"/>
              <w:rPr>
                <w:noProof/>
                <w:color w:val="FFFFFF" w:themeColor="background1"/>
              </w:rPr>
            </w:pPr>
          </w:p>
        </w:tc>
        <w:tc>
          <w:tcPr>
            <w:tcW w:w="691"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2FEE9E42" w14:textId="575FE6A9" w:rsidR="008F4E9E" w:rsidRPr="00CB4FB8" w:rsidRDefault="008F4E9E" w:rsidP="008F4E9E">
            <w:pPr>
              <w:pStyle w:val="Testotabella"/>
              <w:jc w:val="center"/>
              <w:rPr>
                <w:noProof/>
                <w:color w:val="FFFFFF" w:themeColor="background1"/>
              </w:rPr>
            </w:pPr>
          </w:p>
        </w:tc>
      </w:tr>
      <w:tr w:rsidR="008F4E9E" w:rsidRPr="00195BF8" w14:paraId="40503691" w14:textId="77777777" w:rsidTr="006A6764">
        <w:trPr>
          <w:trHeight w:val="252"/>
        </w:trPr>
        <w:tc>
          <w:tcPr>
            <w:tcW w:w="353" w:type="pct"/>
            <w:vMerge/>
            <w:tcBorders>
              <w:top w:val="single" w:sz="8" w:space="0" w:color="000000"/>
              <w:left w:val="single" w:sz="8" w:space="0" w:color="000000"/>
              <w:bottom w:val="single" w:sz="8" w:space="0" w:color="000000"/>
              <w:right w:val="single" w:sz="8" w:space="0" w:color="000000"/>
            </w:tcBorders>
            <w:vAlign w:val="center"/>
            <w:hideMark/>
          </w:tcPr>
          <w:p w14:paraId="0231F274" w14:textId="77777777" w:rsidR="008F4E9E" w:rsidRPr="00195BF8" w:rsidRDefault="008F4E9E" w:rsidP="008F4E9E">
            <w:pPr>
              <w:pStyle w:val="Testotabella"/>
              <w:jc w:val="center"/>
              <w:rPr>
                <w:noProof/>
              </w:rPr>
            </w:pPr>
          </w:p>
        </w:tc>
        <w:tc>
          <w:tcPr>
            <w:tcW w:w="21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12F0828" w14:textId="73BE5A4E" w:rsidR="008F4E9E" w:rsidRPr="00AF1DDE" w:rsidRDefault="008F4E9E" w:rsidP="008F4E9E">
            <w:pPr>
              <w:pStyle w:val="Testotabella"/>
              <w:rPr>
                <w:noProof/>
              </w:rPr>
            </w:pPr>
            <w:r w:rsidRPr="00AF1DDE">
              <w:rPr>
                <w:noProof/>
              </w:rPr>
              <w:t>Rispettare il principio di au</w:t>
            </w:r>
            <w:r>
              <w:rPr>
                <w:noProof/>
              </w:rPr>
              <w:t>tosufficienza e prossimità</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EB02478" w14:textId="32CD3A14" w:rsidR="008F4E9E" w:rsidRPr="00AF1DDE" w:rsidRDefault="008F4E9E" w:rsidP="008F4E9E">
            <w:pPr>
              <w:pStyle w:val="Testotabella"/>
              <w:jc w:val="center"/>
              <w:rPr>
                <w:noProof/>
              </w:rPr>
            </w:pPr>
          </w:p>
        </w:tc>
        <w:tc>
          <w:tcPr>
            <w:tcW w:w="615"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3673D919" w14:textId="2C3E208A" w:rsidR="008F4E9E" w:rsidRPr="00195BF8" w:rsidRDefault="008F4E9E" w:rsidP="008F4E9E">
            <w:pPr>
              <w:pStyle w:val="Testotabella"/>
              <w:jc w:val="center"/>
              <w:rPr>
                <w:noProof/>
              </w:rPr>
            </w:pPr>
            <w:r>
              <w:rPr>
                <w:noProof/>
                <w:lang w:val="en-US"/>
              </w:rPr>
              <w:t>PR</w:t>
            </w:r>
          </w:p>
        </w:tc>
        <w:tc>
          <w:tcPr>
            <w:tcW w:w="694"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155C7531" w14:textId="319C6AC5" w:rsidR="008F4E9E" w:rsidRPr="00195BF8" w:rsidRDefault="008F4E9E" w:rsidP="008F4E9E">
            <w:pPr>
              <w:pStyle w:val="Testotabella"/>
              <w:jc w:val="center"/>
              <w:rPr>
                <w:noProof/>
              </w:rPr>
            </w:pPr>
            <w:r>
              <w:rPr>
                <w:noProof/>
                <w:lang w:val="en-US"/>
              </w:rPr>
              <w:t>PR</w:t>
            </w:r>
          </w:p>
        </w:tc>
        <w:tc>
          <w:tcPr>
            <w:tcW w:w="691"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17089BDD" w14:textId="1C41491D" w:rsidR="008F4E9E" w:rsidRPr="00195BF8" w:rsidRDefault="008F4E9E" w:rsidP="008F4E9E">
            <w:pPr>
              <w:pStyle w:val="Testotabella"/>
              <w:jc w:val="center"/>
              <w:rPr>
                <w:noProof/>
              </w:rPr>
            </w:pPr>
            <w:r>
              <w:rPr>
                <w:noProof/>
                <w:lang w:val="en-US"/>
              </w:rPr>
              <w:t>PNGR</w:t>
            </w:r>
            <w:r w:rsidR="00F9376A">
              <w:rPr>
                <w:noProof/>
                <w:lang w:val="en-US"/>
              </w:rPr>
              <w:t>/PR</w:t>
            </w:r>
          </w:p>
        </w:tc>
      </w:tr>
      <w:tr w:rsidR="008F4E9E" w:rsidRPr="00195BF8" w14:paraId="2E781E3B" w14:textId="77777777" w:rsidTr="006A6764">
        <w:trPr>
          <w:trHeight w:val="277"/>
        </w:trPr>
        <w:tc>
          <w:tcPr>
            <w:tcW w:w="353"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extDirection w:val="btLr"/>
            <w:hideMark/>
          </w:tcPr>
          <w:p w14:paraId="604A24E0" w14:textId="5F0DAB62" w:rsidR="008F4E9E" w:rsidRPr="00195BF8" w:rsidRDefault="008F4E9E" w:rsidP="008F4E9E">
            <w:pPr>
              <w:pStyle w:val="Testotabella"/>
              <w:jc w:val="center"/>
              <w:rPr>
                <w:noProof/>
              </w:rPr>
            </w:pPr>
            <w:r w:rsidRPr="00195BF8">
              <w:rPr>
                <w:noProof/>
              </w:rPr>
              <w:t xml:space="preserve">M3 –Valorizzazione e recupero di </w:t>
            </w:r>
            <w:r>
              <w:rPr>
                <w:noProof/>
              </w:rPr>
              <w:t>risorse</w:t>
            </w:r>
          </w:p>
        </w:tc>
        <w:tc>
          <w:tcPr>
            <w:tcW w:w="21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17759B2A" w14:textId="1A227750" w:rsidR="008F4E9E" w:rsidRPr="00AF1DDE" w:rsidRDefault="008F4E9E" w:rsidP="008F4E9E">
            <w:pPr>
              <w:pStyle w:val="Testotabella"/>
              <w:rPr>
                <w:noProof/>
              </w:rPr>
            </w:pPr>
            <w:r w:rsidRPr="00AF1DDE">
              <w:rPr>
                <w:noProof/>
              </w:rPr>
              <w:t>Garantire raggiungimento di tar</w:t>
            </w:r>
            <w:r>
              <w:rPr>
                <w:noProof/>
              </w:rPr>
              <w:t>get riciclo  per frazione</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9A25347" w14:textId="72880FD2" w:rsidR="008F4E9E" w:rsidRPr="00AF1DDE" w:rsidRDefault="008F4E9E" w:rsidP="008F4E9E">
            <w:pPr>
              <w:pStyle w:val="Testotabella"/>
              <w:jc w:val="center"/>
              <w:rPr>
                <w:noProof/>
              </w:rPr>
            </w:pPr>
          </w:p>
        </w:tc>
        <w:tc>
          <w:tcPr>
            <w:tcW w:w="61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3618B4E" w14:textId="5850EDD9" w:rsidR="008F4E9E" w:rsidRPr="00195BF8" w:rsidRDefault="008F4E9E" w:rsidP="008F4E9E">
            <w:pPr>
              <w:pStyle w:val="Testotabella"/>
              <w:jc w:val="center"/>
              <w:rPr>
                <w:noProof/>
              </w:rPr>
            </w:pPr>
          </w:p>
        </w:tc>
        <w:tc>
          <w:tcPr>
            <w:tcW w:w="694"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602A183C" w14:textId="7A5A0A1C" w:rsidR="008F4E9E" w:rsidRPr="00195BF8" w:rsidRDefault="00CC6DF1" w:rsidP="008F4E9E">
            <w:pPr>
              <w:pStyle w:val="Testotabella"/>
              <w:jc w:val="center"/>
              <w:rPr>
                <w:noProof/>
              </w:rPr>
            </w:pPr>
            <w:r>
              <w:rPr>
                <w:noProof/>
                <w:lang w:val="en-US"/>
              </w:rPr>
              <w:t xml:space="preserve">Sistemi </w:t>
            </w:r>
            <w:r w:rsidR="008F4E9E">
              <w:rPr>
                <w:noProof/>
                <w:lang w:val="en-US"/>
              </w:rPr>
              <w:t>EPR</w:t>
            </w:r>
          </w:p>
        </w:tc>
        <w:tc>
          <w:tcPr>
            <w:tcW w:w="691"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49F09B06" w14:textId="33338388" w:rsidR="008F4E9E" w:rsidRPr="00195BF8" w:rsidRDefault="00CC6DF1" w:rsidP="008F4E9E">
            <w:pPr>
              <w:pStyle w:val="Testotabella"/>
              <w:jc w:val="center"/>
              <w:rPr>
                <w:noProof/>
              </w:rPr>
            </w:pPr>
            <w:r>
              <w:rPr>
                <w:noProof/>
                <w:lang w:val="en-US"/>
              </w:rPr>
              <w:t xml:space="preserve">Sistemi </w:t>
            </w:r>
            <w:r w:rsidR="008F4E9E">
              <w:rPr>
                <w:noProof/>
                <w:lang w:val="en-US"/>
              </w:rPr>
              <w:t>EPR</w:t>
            </w:r>
          </w:p>
        </w:tc>
      </w:tr>
      <w:tr w:rsidR="008F4E9E" w:rsidRPr="00195BF8" w14:paraId="07E8F14B" w14:textId="77777777" w:rsidTr="006A6764">
        <w:trPr>
          <w:trHeight w:val="244"/>
        </w:trPr>
        <w:tc>
          <w:tcPr>
            <w:tcW w:w="353" w:type="pct"/>
            <w:vMerge/>
            <w:tcBorders>
              <w:top w:val="single" w:sz="8" w:space="0" w:color="000000"/>
              <w:left w:val="single" w:sz="8" w:space="0" w:color="000000"/>
              <w:bottom w:val="single" w:sz="8" w:space="0" w:color="000000"/>
              <w:right w:val="single" w:sz="8" w:space="0" w:color="000000"/>
            </w:tcBorders>
            <w:vAlign w:val="center"/>
            <w:hideMark/>
          </w:tcPr>
          <w:p w14:paraId="512C8A3C" w14:textId="77777777" w:rsidR="008F4E9E" w:rsidRPr="00195BF8" w:rsidRDefault="008F4E9E" w:rsidP="008F4E9E">
            <w:pPr>
              <w:pStyle w:val="Testotabella"/>
              <w:rPr>
                <w:noProof/>
              </w:rPr>
            </w:pPr>
          </w:p>
        </w:tc>
        <w:tc>
          <w:tcPr>
            <w:tcW w:w="21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34C0009B" w14:textId="0338987F" w:rsidR="008F4E9E" w:rsidRPr="00AF1DDE" w:rsidRDefault="008F4E9E" w:rsidP="008F4E9E">
            <w:pPr>
              <w:pStyle w:val="Testotabella"/>
              <w:rPr>
                <w:noProof/>
              </w:rPr>
            </w:pPr>
            <w:r w:rsidRPr="00AF1DDE">
              <w:rPr>
                <w:noProof/>
              </w:rPr>
              <w:t>Garantire raggiungimento di target ri</w:t>
            </w:r>
            <w:r>
              <w:rPr>
                <w:noProof/>
              </w:rPr>
              <w:t>ciclo complessivi</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B0E5CAF" w14:textId="22E48AA2" w:rsidR="008F4E9E" w:rsidRPr="00AF1DDE" w:rsidRDefault="008F4E9E" w:rsidP="008F4E9E">
            <w:pPr>
              <w:pStyle w:val="Testotabella"/>
              <w:jc w:val="center"/>
              <w:rPr>
                <w:noProof/>
              </w:rPr>
            </w:pPr>
          </w:p>
        </w:tc>
        <w:tc>
          <w:tcPr>
            <w:tcW w:w="61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10696A3" w14:textId="34A71F40" w:rsidR="008F4E9E" w:rsidRPr="00AF1DDE" w:rsidRDefault="008F4E9E" w:rsidP="008F4E9E">
            <w:pPr>
              <w:pStyle w:val="Testotabella"/>
              <w:jc w:val="center"/>
              <w:rPr>
                <w:noProof/>
              </w:rPr>
            </w:pPr>
          </w:p>
        </w:tc>
        <w:tc>
          <w:tcPr>
            <w:tcW w:w="69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4CDEF2A" w14:textId="0A66AF26" w:rsidR="008F4E9E" w:rsidRPr="00AF1DDE" w:rsidRDefault="008F4E9E" w:rsidP="008F4E9E">
            <w:pPr>
              <w:pStyle w:val="Testotabella"/>
              <w:jc w:val="center"/>
              <w:rPr>
                <w:noProof/>
              </w:rPr>
            </w:pPr>
          </w:p>
        </w:tc>
        <w:tc>
          <w:tcPr>
            <w:tcW w:w="691"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0B5CF328" w14:textId="27E1CB14" w:rsidR="008F4E9E" w:rsidRPr="00195BF8" w:rsidRDefault="00CC6DF1" w:rsidP="008F4E9E">
            <w:pPr>
              <w:pStyle w:val="Testotabella"/>
              <w:jc w:val="center"/>
              <w:rPr>
                <w:noProof/>
              </w:rPr>
            </w:pPr>
            <w:r>
              <w:rPr>
                <w:noProof/>
                <w:lang w:val="en-US"/>
              </w:rPr>
              <w:t xml:space="preserve">Sietemi </w:t>
            </w:r>
            <w:r w:rsidR="008F4E9E">
              <w:rPr>
                <w:noProof/>
                <w:lang w:val="en-US"/>
              </w:rPr>
              <w:t>EPR</w:t>
            </w:r>
          </w:p>
        </w:tc>
      </w:tr>
      <w:tr w:rsidR="008F4E9E" w:rsidRPr="00195BF8" w14:paraId="58F72409" w14:textId="77777777" w:rsidTr="006A6764">
        <w:trPr>
          <w:trHeight w:val="257"/>
        </w:trPr>
        <w:tc>
          <w:tcPr>
            <w:tcW w:w="353" w:type="pct"/>
            <w:vMerge/>
            <w:tcBorders>
              <w:top w:val="single" w:sz="8" w:space="0" w:color="000000"/>
              <w:left w:val="single" w:sz="8" w:space="0" w:color="000000"/>
              <w:bottom w:val="single" w:sz="8" w:space="0" w:color="000000"/>
              <w:right w:val="single" w:sz="8" w:space="0" w:color="000000"/>
            </w:tcBorders>
            <w:vAlign w:val="center"/>
            <w:hideMark/>
          </w:tcPr>
          <w:p w14:paraId="0E7D80B9" w14:textId="77777777" w:rsidR="008F4E9E" w:rsidRPr="00195BF8" w:rsidRDefault="008F4E9E" w:rsidP="008F4E9E">
            <w:pPr>
              <w:pStyle w:val="Testotabella"/>
              <w:rPr>
                <w:noProof/>
              </w:rPr>
            </w:pPr>
          </w:p>
        </w:tc>
        <w:tc>
          <w:tcPr>
            <w:tcW w:w="21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7FBFEEB4" w14:textId="68C1836B" w:rsidR="008F4E9E" w:rsidRPr="00AF1DDE" w:rsidRDefault="008F4E9E" w:rsidP="008F4E9E">
            <w:pPr>
              <w:pStyle w:val="Testotabella"/>
              <w:rPr>
                <w:noProof/>
              </w:rPr>
            </w:pPr>
            <w:r w:rsidRPr="00AF1DDE">
              <w:rPr>
                <w:noProof/>
              </w:rPr>
              <w:t>Piena attuazione della “gerarchia d</w:t>
            </w:r>
            <w:r>
              <w:rPr>
                <w:noProof/>
              </w:rPr>
              <w:t>ei rifiuti”</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840C065" w14:textId="356EA126" w:rsidR="008F4E9E" w:rsidRPr="00AF1DDE" w:rsidRDefault="008F4E9E" w:rsidP="008F4E9E">
            <w:pPr>
              <w:pStyle w:val="Testotabella"/>
              <w:jc w:val="center"/>
              <w:rPr>
                <w:noProof/>
              </w:rPr>
            </w:pPr>
          </w:p>
        </w:tc>
        <w:tc>
          <w:tcPr>
            <w:tcW w:w="61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721E85D" w14:textId="6D444894" w:rsidR="008F4E9E" w:rsidRPr="00195BF8" w:rsidRDefault="008F4E9E" w:rsidP="008F4E9E">
            <w:pPr>
              <w:pStyle w:val="Testotabella"/>
              <w:jc w:val="center"/>
              <w:rPr>
                <w:noProof/>
              </w:rPr>
            </w:pPr>
          </w:p>
        </w:tc>
        <w:tc>
          <w:tcPr>
            <w:tcW w:w="694"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1ADC1EF7" w14:textId="31139954" w:rsidR="008F4E9E" w:rsidRPr="00195BF8" w:rsidRDefault="008F4E9E" w:rsidP="008F4E9E">
            <w:pPr>
              <w:pStyle w:val="Testotabella"/>
              <w:jc w:val="center"/>
              <w:rPr>
                <w:noProof/>
              </w:rPr>
            </w:pPr>
            <w:r>
              <w:rPr>
                <w:noProof/>
                <w:lang w:val="en-US"/>
              </w:rPr>
              <w:t>SGRU</w:t>
            </w:r>
          </w:p>
        </w:tc>
        <w:tc>
          <w:tcPr>
            <w:tcW w:w="691"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tcPr>
          <w:p w14:paraId="099CA1C8" w14:textId="12AA5DF4" w:rsidR="008F4E9E" w:rsidRPr="00195BF8" w:rsidRDefault="008F4E9E" w:rsidP="008F4E9E">
            <w:pPr>
              <w:pStyle w:val="Testotabella"/>
              <w:jc w:val="center"/>
              <w:rPr>
                <w:noProof/>
              </w:rPr>
            </w:pPr>
            <w:r>
              <w:rPr>
                <w:noProof/>
              </w:rPr>
              <w:t>SGRU</w:t>
            </w:r>
          </w:p>
        </w:tc>
      </w:tr>
      <w:tr w:rsidR="008F4E9E" w:rsidRPr="00195BF8" w14:paraId="5E55488E" w14:textId="77777777" w:rsidTr="006A6764">
        <w:trPr>
          <w:trHeight w:val="199"/>
        </w:trPr>
        <w:tc>
          <w:tcPr>
            <w:tcW w:w="353" w:type="pct"/>
            <w:vMerge/>
            <w:tcBorders>
              <w:top w:val="single" w:sz="8" w:space="0" w:color="000000"/>
              <w:left w:val="single" w:sz="8" w:space="0" w:color="000000"/>
              <w:bottom w:val="single" w:sz="8" w:space="0" w:color="000000"/>
              <w:right w:val="single" w:sz="8" w:space="0" w:color="000000"/>
            </w:tcBorders>
            <w:vAlign w:val="center"/>
            <w:hideMark/>
          </w:tcPr>
          <w:p w14:paraId="1C2E57D2" w14:textId="77777777" w:rsidR="008F4E9E" w:rsidRPr="00195BF8" w:rsidRDefault="008F4E9E" w:rsidP="008F4E9E">
            <w:pPr>
              <w:pStyle w:val="Testotabella"/>
              <w:rPr>
                <w:noProof/>
              </w:rPr>
            </w:pPr>
          </w:p>
        </w:tc>
        <w:tc>
          <w:tcPr>
            <w:tcW w:w="21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38EBD201" w14:textId="1C77D3FC" w:rsidR="008F4E9E" w:rsidRPr="00AF1DDE" w:rsidRDefault="008F4E9E" w:rsidP="008F4E9E">
            <w:pPr>
              <w:pStyle w:val="Testotabella"/>
              <w:rPr>
                <w:noProof/>
              </w:rPr>
            </w:pPr>
            <w:r w:rsidRPr="00AF1DDE">
              <w:rPr>
                <w:noProof/>
              </w:rPr>
              <w:t>Prevenzione e riduzione rifiuti a</w:t>
            </w:r>
            <w:r>
              <w:rPr>
                <w:noProof/>
              </w:rPr>
              <w:t>lla fonte</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6305C5D" w14:textId="718B101E" w:rsidR="008F4E9E" w:rsidRPr="00195BF8" w:rsidRDefault="008F4E9E" w:rsidP="008F4E9E">
            <w:pPr>
              <w:pStyle w:val="Testotabella"/>
              <w:jc w:val="center"/>
              <w:rPr>
                <w:noProof/>
              </w:rPr>
            </w:pPr>
          </w:p>
        </w:tc>
        <w:tc>
          <w:tcPr>
            <w:tcW w:w="61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8543BD9" w14:textId="7EF6528B" w:rsidR="008F4E9E" w:rsidRPr="00195BF8" w:rsidRDefault="008F4E9E" w:rsidP="008F4E9E">
            <w:pPr>
              <w:pStyle w:val="Testotabella"/>
              <w:jc w:val="center"/>
              <w:rPr>
                <w:noProof/>
              </w:rPr>
            </w:pPr>
          </w:p>
        </w:tc>
        <w:tc>
          <w:tcPr>
            <w:tcW w:w="69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288A20F" w14:textId="60BC7F2A" w:rsidR="008F4E9E" w:rsidRPr="00195BF8" w:rsidRDefault="008F4E9E" w:rsidP="008F4E9E">
            <w:pPr>
              <w:pStyle w:val="Testotabella"/>
              <w:jc w:val="center"/>
              <w:rPr>
                <w:noProof/>
              </w:rPr>
            </w:pPr>
          </w:p>
        </w:tc>
        <w:tc>
          <w:tcPr>
            <w:tcW w:w="691"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7EBE1C6C" w14:textId="0B058AFF" w:rsidR="008F4E9E" w:rsidRPr="00195BF8" w:rsidRDefault="00CC6DF1" w:rsidP="008F4E9E">
            <w:pPr>
              <w:pStyle w:val="Testotabella"/>
              <w:jc w:val="center"/>
              <w:rPr>
                <w:noProof/>
              </w:rPr>
            </w:pPr>
            <w:r>
              <w:rPr>
                <w:noProof/>
                <w:lang w:val="en-US"/>
              </w:rPr>
              <w:t xml:space="preserve">Sistemi </w:t>
            </w:r>
            <w:r w:rsidR="008F4E9E">
              <w:rPr>
                <w:noProof/>
                <w:lang w:val="en-US"/>
              </w:rPr>
              <w:t>EPR</w:t>
            </w:r>
            <w:r>
              <w:rPr>
                <w:noProof/>
                <w:lang w:val="en-US"/>
              </w:rPr>
              <w:t xml:space="preserve"> </w:t>
            </w:r>
            <w:r w:rsidR="008F4E9E">
              <w:rPr>
                <w:noProof/>
                <w:lang w:val="en-US"/>
              </w:rPr>
              <w:t>PNGR</w:t>
            </w:r>
          </w:p>
        </w:tc>
      </w:tr>
      <w:tr w:rsidR="008F4E9E" w:rsidRPr="00195BF8" w14:paraId="706D3DBB" w14:textId="77777777" w:rsidTr="006A6764">
        <w:trPr>
          <w:trHeight w:val="245"/>
        </w:trPr>
        <w:tc>
          <w:tcPr>
            <w:tcW w:w="353" w:type="pct"/>
            <w:vMerge/>
            <w:tcBorders>
              <w:top w:val="single" w:sz="8" w:space="0" w:color="000000"/>
              <w:left w:val="single" w:sz="8" w:space="0" w:color="000000"/>
              <w:bottom w:val="single" w:sz="8" w:space="0" w:color="000000"/>
              <w:right w:val="single" w:sz="8" w:space="0" w:color="000000"/>
            </w:tcBorders>
            <w:vAlign w:val="center"/>
            <w:hideMark/>
          </w:tcPr>
          <w:p w14:paraId="08CD4A07" w14:textId="77777777" w:rsidR="008F4E9E" w:rsidRPr="00195BF8" w:rsidRDefault="008F4E9E" w:rsidP="008F4E9E">
            <w:pPr>
              <w:pStyle w:val="Testotabella"/>
              <w:rPr>
                <w:noProof/>
              </w:rPr>
            </w:pPr>
          </w:p>
        </w:tc>
        <w:tc>
          <w:tcPr>
            <w:tcW w:w="2154"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469DAB3C" w14:textId="48AB4B2B" w:rsidR="008F4E9E" w:rsidRPr="00AF1DDE" w:rsidRDefault="008F4E9E" w:rsidP="008F4E9E">
            <w:pPr>
              <w:pStyle w:val="Testotabella"/>
              <w:rPr>
                <w:noProof/>
              </w:rPr>
            </w:pPr>
            <w:r w:rsidRPr="00AF1DDE">
              <w:rPr>
                <w:noProof/>
              </w:rPr>
              <w:t>Internalizzare i</w:t>
            </w:r>
            <w:r>
              <w:rPr>
                <w:noProof/>
              </w:rPr>
              <w:t>l costo della gestione nel prezzo di vendita</w:t>
            </w:r>
          </w:p>
        </w:tc>
        <w:tc>
          <w:tcPr>
            <w:tcW w:w="493"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EC6545B" w14:textId="34AEC134" w:rsidR="008F4E9E" w:rsidRPr="00195BF8" w:rsidRDefault="008F4E9E" w:rsidP="008F4E9E">
            <w:pPr>
              <w:pStyle w:val="Testotabella"/>
              <w:jc w:val="center"/>
              <w:rPr>
                <w:noProof/>
              </w:rPr>
            </w:pPr>
          </w:p>
        </w:tc>
        <w:tc>
          <w:tcPr>
            <w:tcW w:w="61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99ED6A4" w14:textId="1341DCB3" w:rsidR="008F4E9E" w:rsidRPr="00195BF8" w:rsidRDefault="008F4E9E" w:rsidP="008F4E9E">
            <w:pPr>
              <w:pStyle w:val="Testotabella"/>
              <w:jc w:val="center"/>
              <w:rPr>
                <w:noProof/>
              </w:rPr>
            </w:pPr>
          </w:p>
        </w:tc>
        <w:tc>
          <w:tcPr>
            <w:tcW w:w="694"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1D9D122B" w14:textId="6C2160CE" w:rsidR="008F4E9E" w:rsidRPr="00195BF8" w:rsidRDefault="00CC6DF1" w:rsidP="008F4E9E">
            <w:pPr>
              <w:pStyle w:val="Testotabella"/>
              <w:jc w:val="center"/>
              <w:rPr>
                <w:noProof/>
              </w:rPr>
            </w:pPr>
            <w:r>
              <w:rPr>
                <w:noProof/>
                <w:lang w:val="en-US"/>
              </w:rPr>
              <w:t xml:space="preserve">Sistemi </w:t>
            </w:r>
            <w:r w:rsidR="008F4E9E">
              <w:rPr>
                <w:noProof/>
                <w:lang w:val="en-US"/>
              </w:rPr>
              <w:t>EPR</w:t>
            </w:r>
          </w:p>
        </w:tc>
        <w:tc>
          <w:tcPr>
            <w:tcW w:w="691" w:type="pct"/>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15" w:type="dxa"/>
              <w:left w:w="108" w:type="dxa"/>
              <w:bottom w:w="0" w:type="dxa"/>
              <w:right w:w="108" w:type="dxa"/>
            </w:tcMar>
            <w:vAlign w:val="center"/>
            <w:hideMark/>
          </w:tcPr>
          <w:p w14:paraId="2DCEC521" w14:textId="444A6A31" w:rsidR="008F4E9E" w:rsidRPr="00195BF8" w:rsidRDefault="00CC6DF1" w:rsidP="008F4E9E">
            <w:pPr>
              <w:pStyle w:val="Testotabella"/>
              <w:jc w:val="center"/>
              <w:rPr>
                <w:noProof/>
              </w:rPr>
            </w:pPr>
            <w:r>
              <w:rPr>
                <w:noProof/>
                <w:lang w:val="en-US"/>
              </w:rPr>
              <w:t xml:space="preserve">Sistemi </w:t>
            </w:r>
            <w:r w:rsidR="008F4E9E">
              <w:rPr>
                <w:noProof/>
                <w:lang w:val="en-US"/>
              </w:rPr>
              <w:t>EPR</w:t>
            </w:r>
          </w:p>
        </w:tc>
      </w:tr>
    </w:tbl>
    <w:p w14:paraId="0032BA67" w14:textId="709FC2D8" w:rsidR="001F3EFA" w:rsidRPr="001F3EFA" w:rsidRDefault="00FF01CF" w:rsidP="001F3EFA">
      <w:pPr>
        <w:pStyle w:val="Testotabella"/>
        <w:rPr>
          <w:lang w:val="en-GB"/>
        </w:rPr>
      </w:pPr>
      <w:r>
        <w:rPr>
          <w:lang w:val="en-GB"/>
        </w:rPr>
        <w:t xml:space="preserve">(*) </w:t>
      </w:r>
      <w:r w:rsidR="001F3EFA" w:rsidRPr="001F3EFA">
        <w:rPr>
          <w:lang w:val="en-GB"/>
        </w:rPr>
        <w:t xml:space="preserve">CEP: “Circular Economy Package” (Dir. </w:t>
      </w:r>
      <w:r w:rsidR="001F3EFA">
        <w:rPr>
          <w:lang w:val="en-GB"/>
        </w:rPr>
        <w:t>201</w:t>
      </w:r>
      <w:r>
        <w:rPr>
          <w:lang w:val="en-GB"/>
        </w:rPr>
        <w:t>8</w:t>
      </w:r>
      <w:r w:rsidR="001F3EFA">
        <w:rPr>
          <w:lang w:val="en-GB"/>
        </w:rPr>
        <w:t>/</w:t>
      </w:r>
      <w:r>
        <w:rPr>
          <w:lang w:val="en-GB"/>
        </w:rPr>
        <w:t>849-850-851-852)</w:t>
      </w:r>
    </w:p>
    <w:p w14:paraId="4D0C55EA" w14:textId="40FB0EA6" w:rsidR="001F3EFA" w:rsidRDefault="00CA0C02" w:rsidP="001F3EFA">
      <w:pPr>
        <w:pStyle w:val="Testotabella"/>
      </w:pPr>
      <w:r w:rsidRPr="00CA0C02">
        <w:t xml:space="preserve">Legenda: </w:t>
      </w:r>
      <w:r w:rsidR="00AF1DDE">
        <w:t xml:space="preserve">il </w:t>
      </w:r>
      <w:r w:rsidR="00E94DAB">
        <w:t xml:space="preserve">colore scuro della cella indica che l’attività è compresa nel perimetro del servizio pubblico; la sigla indica </w:t>
      </w:r>
      <w:r w:rsidR="001F3EFA">
        <w:t>il</w:t>
      </w:r>
      <w:r w:rsidR="00E94DAB">
        <w:t xml:space="preserve"> </w:t>
      </w:r>
      <w:r w:rsidR="001F3EFA">
        <w:t>soggetto</w:t>
      </w:r>
      <w:r w:rsidR="00E94DAB">
        <w:t xml:space="preserve"> </w:t>
      </w:r>
      <w:r w:rsidR="001F3EFA">
        <w:t>su cui ricadono i relativi</w:t>
      </w:r>
      <w:r w:rsidR="001A5274">
        <w:t xml:space="preserve"> OSP </w:t>
      </w:r>
      <w:r w:rsidR="00E94DAB">
        <w:t xml:space="preserve">(SGRU = servizio di gestione RU; PR = pianificazione regionale; </w:t>
      </w:r>
      <w:r w:rsidR="001662CA">
        <w:t xml:space="preserve">PNGR = Piano nazionale di gestione dei </w:t>
      </w:r>
      <w:proofErr w:type="spellStart"/>
      <w:r w:rsidR="001662CA">
        <w:t>rifuti</w:t>
      </w:r>
      <w:proofErr w:type="spellEnd"/>
      <w:r w:rsidR="00C2074F">
        <w:t xml:space="preserve">; </w:t>
      </w:r>
      <w:r w:rsidR="00CC6DF1">
        <w:t xml:space="preserve">Sistemi </w:t>
      </w:r>
      <w:r w:rsidR="00C2074F">
        <w:t xml:space="preserve">EPR = </w:t>
      </w:r>
      <w:r w:rsidR="00CC6DF1">
        <w:t xml:space="preserve">schemi sorti in attuazione del principio di </w:t>
      </w:r>
      <w:r w:rsidR="00C2074F">
        <w:t>responsabilità estesa del produttore</w:t>
      </w:r>
    </w:p>
    <w:p w14:paraId="2256369E" w14:textId="6FD2C12A" w:rsidR="001F3EFA" w:rsidRPr="001F3EFA" w:rsidRDefault="00D33E51" w:rsidP="001F3EFA">
      <w:pPr>
        <w:pStyle w:val="Finefiguraetabella"/>
        <w:rPr>
          <w:lang w:val="it-IT"/>
        </w:rPr>
      </w:pPr>
      <w:r>
        <w:rPr>
          <w:lang w:val="it-IT"/>
        </w:rPr>
        <w:t>Fonte: nostra elaborazione</w:t>
      </w:r>
      <w:r w:rsidR="00C2074F" w:rsidRPr="001F3EFA">
        <w:rPr>
          <w:lang w:val="it-IT"/>
        </w:rPr>
        <w:t xml:space="preserve"> </w:t>
      </w:r>
    </w:p>
    <w:p w14:paraId="4A3DC2C3" w14:textId="77777777" w:rsidR="004C5087" w:rsidRDefault="004C5087" w:rsidP="004C5087">
      <w:r>
        <w:t xml:space="preserve">Il passaggio al regime del secondo periodo si materializza quando una serie di tendenze giungono contemporaneamente a maturazione. La produzione di rifiuti aumenta vistosamente, passando dai 6,8 Mt degli anni del dopoguerra ai 16,2 Mt dei primi anni 70, e ai circa 30 Mt attuali (Massarutto, 2025). La disponibilità di siti per lo smaltimento diminuisce, per ragioni fisiche (spazio limitato), urbanistiche (concorrenza con altri usi del suolo), sociali (opposizione agli impianti). L’interesse economico per il recupero a sua volta cala: il miglioramento delle condizioni economiche generali riduce il numero di persone disposte a svolgere occupazioni ingrate e </w:t>
      </w:r>
      <w:proofErr w:type="spellStart"/>
      <w:r>
        <w:t>sottoremunerate</w:t>
      </w:r>
      <w:proofErr w:type="spellEnd"/>
      <w:r>
        <w:t xml:space="preserve">, mentre il basso prezzo internazionale delle </w:t>
      </w:r>
      <w:r w:rsidRPr="004C5087">
        <w:rPr>
          <w:i/>
          <w:iCs/>
        </w:rPr>
        <w:t>commodities</w:t>
      </w:r>
      <w:r>
        <w:t xml:space="preserve"> non stimola una trasformazione del riciclo in senso industriale. </w:t>
      </w:r>
    </w:p>
    <w:p w14:paraId="3E65838A" w14:textId="48D38336" w:rsidR="004C5087" w:rsidRDefault="004C5087" w:rsidP="004C5087">
      <w:r>
        <w:lastRenderedPageBreak/>
        <w:t xml:space="preserve">L’effetto combinato è quello di mettere in crisi le raccolte, che non trovano più un mercato cui destinare i rifiuti raccolti. Il perimetro del servizio pubblico si estende così a M2, e si concretizza nella pianificazione regionale. L’OSP include ora l’individuazione entro i confini </w:t>
      </w:r>
      <w:r w:rsidR="00842296">
        <w:t xml:space="preserve">regionali </w:t>
      </w:r>
      <w:r>
        <w:t xml:space="preserve">di una capacità di smaltimento adeguata ai flussi da smaltire, al netto di quelli che il mercato riesce spontaneamente a riassorbire come materie seconde. Gli impianti individuati nel piano acquistano pertanto la qualifica di </w:t>
      </w:r>
      <w:r w:rsidRPr="001F3EFA">
        <w:rPr>
          <w:i/>
          <w:iCs/>
        </w:rPr>
        <w:t>essential facility</w:t>
      </w:r>
      <w:r>
        <w:t xml:space="preserve"> con la conseguente necessità di assoggettare a regolazione le tariffe applicate.</w:t>
      </w:r>
    </w:p>
    <w:p w14:paraId="577410A9" w14:textId="5B6A8499" w:rsidR="004C5087" w:rsidRDefault="004C5087" w:rsidP="004C5087">
      <w:r>
        <w:t xml:space="preserve">Nel terzo regime (economia circolare) il perimetro arriva ad includere anche M3, per tramite del principio di responsabilità estesa del produttore (EPR), che attribuisce ai produttori l’obbligo di garantire il raggiungimento di obiettivi di prevenzione e riciclo facendosi carico dei relativi costi. </w:t>
      </w:r>
    </w:p>
    <w:p w14:paraId="6A6C2209" w14:textId="6BECB356" w:rsidR="001204CC" w:rsidRDefault="001204CC" w:rsidP="001204CC">
      <w:pPr>
        <w:pStyle w:val="Titolo3"/>
      </w:pPr>
      <w:r>
        <w:t>Verso l’economia circolare: la responsabilità estesa del produttore</w:t>
      </w:r>
    </w:p>
    <w:p w14:paraId="47FDC7FD" w14:textId="6F36F4B4" w:rsidR="00242BD0" w:rsidRDefault="001204CC" w:rsidP="00BE6399">
      <w:r>
        <w:t xml:space="preserve">In base al principio EPR, la responsabilità di provvedere al fine vita dei prodotti spetta ai soggetti che li hanno immessi sul mercato; ciò si concretizza, almeno in Europa, nell’obbligo di raggiungere entro una certa data obiettivi quantitativi (di recupero, riciclo, riuso etc) stabiliti in relazione ai volumi immessi sul mercato. </w:t>
      </w:r>
      <w:r w:rsidR="00BE6399">
        <w:t>I produttori potrebbero assolvere questi compiti direttamente (individualmente o in forma associata), oppure delegare l’</w:t>
      </w:r>
      <w:proofErr w:type="spellStart"/>
      <w:r w:rsidR="00BE6399">
        <w:t>dempimento</w:t>
      </w:r>
      <w:proofErr w:type="spellEnd"/>
      <w:r w:rsidR="00BE6399">
        <w:t xml:space="preserve"> a un soggetto terzo </w:t>
      </w:r>
      <w:r w:rsidR="008327E1">
        <w:t>(</w:t>
      </w:r>
      <w:proofErr w:type="spellStart"/>
      <w:r w:rsidR="008327E1">
        <w:t>Gupt</w:t>
      </w:r>
      <w:proofErr w:type="spellEnd"/>
      <w:r w:rsidR="008327E1">
        <w:t xml:space="preserve"> et al., 2015)</w:t>
      </w:r>
      <w:r>
        <w:t xml:space="preserve">. </w:t>
      </w:r>
    </w:p>
    <w:p w14:paraId="25BCC359" w14:textId="61A35A2A" w:rsidR="00242BD0" w:rsidRDefault="00242BD0" w:rsidP="00242BD0">
      <w:r>
        <w:t>Benché siano possibili diversi schemi e modelli, qui l’elemento caratteristico è rappresentato dai soggetti collettivi cui i produttori in genere affidano questa responsabilità (Marques e Ferreira da Cruz, 2018). Nel seguito faremo riferimento a questi come “sistemi EPR”. Ogni sistema è organizzato secondo regole specifiche, diverse in funzione del materiale e della filiera. Elementi caratteristici sono la maggiore o minore volontarietà dell’adesione, la presenza di soggetti responsabili di ultima istanza (</w:t>
      </w:r>
      <w:r w:rsidRPr="00242BD0">
        <w:rPr>
          <w:i/>
          <w:iCs/>
        </w:rPr>
        <w:t>clearing house</w:t>
      </w:r>
      <w:r>
        <w:t>),</w:t>
      </w:r>
      <w:r w:rsidR="000721D6">
        <w:t xml:space="preserve"> il punto della filiera su cui il legislatore fa leva (produttori di imballaggi, </w:t>
      </w:r>
      <w:r w:rsidR="000721D6" w:rsidRPr="000721D6">
        <w:rPr>
          <w:i/>
          <w:iCs/>
        </w:rPr>
        <w:t>filler</w:t>
      </w:r>
      <w:r w:rsidR="000721D6">
        <w:t>, grande distribuzione).</w:t>
      </w:r>
    </w:p>
    <w:p w14:paraId="559EF869" w14:textId="77777777" w:rsidR="00242BD0" w:rsidRPr="001204CC" w:rsidRDefault="00242BD0" w:rsidP="00242BD0">
      <w:r>
        <w:t xml:space="preserve">Quello più rilevante in termini di flussi è certamente il sistema degli imballaggi, che da soli costituiscono circa 1/3 del totale dei RU in Italia. In Europa prevalgono sistemi di tipo </w:t>
      </w:r>
      <w:r w:rsidRPr="00462203">
        <w:rPr>
          <w:i/>
          <w:iCs/>
        </w:rPr>
        <w:t>green-dot</w:t>
      </w:r>
      <w:r>
        <w:t xml:space="preserve">, modellati sull’esempio tedesco del DSD. In questo schema, i produttori acquistano da organizzazioni all’uopo preposte il servizio di raccolta separata e riciclo, che viene perciò svolto in modo “duale”, ossia parallelo, rispetto al servizio pubblico. Un modello peculiare è quello inglese, fondato su certificati </w:t>
      </w:r>
      <w:r w:rsidRPr="00D77BE3">
        <w:rPr>
          <w:i/>
          <w:iCs/>
        </w:rPr>
        <w:t>end-of-waste</w:t>
      </w:r>
      <w:r>
        <w:t xml:space="preserve"> trasferibili rilasciati dallo Stato (Packaging Recovery Notes), e che ogni soggetto obbligato è tenuto a consegnare a scadenze prefissate (Massarutto e Antonioli, 2012).</w:t>
      </w:r>
    </w:p>
    <w:p w14:paraId="3EB48B08" w14:textId="6DEE15CA" w:rsidR="001204CC" w:rsidRDefault="001204CC" w:rsidP="001204CC">
      <w:r>
        <w:t>L’estensione del perimetro del servizio pubblico all’ambito del recupero, per tramite del principio di EPR, pone nuovi e inediti problemi di regolazione del mercato, a causa da un lato della compresenza di due diversi OSP, tra loro in potenziale conflitto, in capo a due soggetti diversi (il SGRU e il sistema EPR), dall’altro delle possibili interferenze tra l’esigenza di garantire la sostenibilità finanziaria dell’OSP e quella di favorire la concorrenza.</w:t>
      </w:r>
    </w:p>
    <w:p w14:paraId="2F469796" w14:textId="76357925" w:rsidR="001204CC" w:rsidRDefault="001204CC" w:rsidP="001204CC">
      <w:r>
        <w:t xml:space="preserve">In primo luogo, dato che i sistemi EPR svolgono un ruolo di </w:t>
      </w:r>
      <w:r w:rsidRPr="00CB5350">
        <w:rPr>
          <w:i/>
          <w:iCs/>
        </w:rPr>
        <w:t>clearing house</w:t>
      </w:r>
      <w:r>
        <w:t xml:space="preserve"> a beneficio dell’intero sistema, occorre garantirne la copertura dei costi evitando sussidi incrociati tra diversi materiali e tra diversi impieghi dello stesso materiale. Si pone quindi il problema di stabilire se e a quali condizioni determinati produttori possono “chiamarsi fuori”, provvedendo con propri mezzi </w:t>
      </w:r>
      <w:r w:rsidR="00BE6399">
        <w:t>al ritiro dei</w:t>
      </w:r>
      <w:r>
        <w:t xml:space="preserve"> propri imballaggi ed evitando di pagare i corrispondenti contributi.</w:t>
      </w:r>
    </w:p>
    <w:p w14:paraId="42321BA0" w14:textId="77777777" w:rsidR="001204CC" w:rsidRDefault="001204CC" w:rsidP="001204CC">
      <w:r>
        <w:t xml:space="preserve">In secondo luogo, vi è il rischio che operatori non gravati da OSP possano “scremare il mercato”, concentrandosi sui flussi redditizi (materiali più facili da selezionare o dall’elevato valore intrinseco); ma anche quello, simmetrico, che le compensazioni per gli OSP permettano al gestore di sussidiare a carico del servizio pubblico costi relativi ad attività aperte alla concorrenza. </w:t>
      </w:r>
    </w:p>
    <w:p w14:paraId="175AA391" w14:textId="77777777" w:rsidR="001204CC" w:rsidRPr="00CC1A5B" w:rsidRDefault="001204CC" w:rsidP="001204CC">
      <w:r>
        <w:lastRenderedPageBreak/>
        <w:t>In terzo luogo, occorre delimitare il diritto di privativa da parte del comune e del gestore, identificando quei flussi che possono essere raccolti da soggetti terzi per avviarli al riciclo ma anche al riuso, e quelli che invece devono obbligatoriamente essere conferiti al servizio pubblico.</w:t>
      </w:r>
    </w:p>
    <w:p w14:paraId="27BC7E4F" w14:textId="67136849" w:rsidR="002679EB" w:rsidRDefault="002679EB" w:rsidP="002679EB">
      <w:pPr>
        <w:pStyle w:val="Titolo2"/>
      </w:pPr>
      <w:r>
        <w:t>Alcune peculiarità del caso italiano</w:t>
      </w:r>
      <w:r w:rsidR="001D42A6">
        <w:t xml:space="preserve"> </w:t>
      </w:r>
    </w:p>
    <w:p w14:paraId="6459B709" w14:textId="3FE5DB4C" w:rsidR="001D42A6" w:rsidRDefault="002679EB" w:rsidP="003331D2">
      <w:pPr>
        <w:pStyle w:val="Titolo3"/>
      </w:pPr>
      <w:r>
        <w:t>L</w:t>
      </w:r>
      <w:r w:rsidR="001D42A6">
        <w:t>a “gestione integrata”</w:t>
      </w:r>
      <w:r w:rsidR="00651EE2">
        <w:t xml:space="preserve"> e gli “ambiti territoriali ottimali”</w:t>
      </w:r>
    </w:p>
    <w:p w14:paraId="622134C5" w14:textId="27436ED0" w:rsidR="001D42A6" w:rsidRDefault="001D42A6" w:rsidP="005D74B5">
      <w:r>
        <w:t xml:space="preserve">Il modello </w:t>
      </w:r>
      <w:r w:rsidR="008B1AF3">
        <w:t>della pianificazione regionale si è diffuso in tutta Europa con caratteristiche simili, anche perché ispirato dalla cornice generale della Dir. 75/442</w:t>
      </w:r>
      <w:r w:rsidR="00291290">
        <w:t xml:space="preserve"> e dal “principio di autosufficienza” </w:t>
      </w:r>
      <w:r w:rsidR="00BE6399">
        <w:t>che questa sanciva</w:t>
      </w:r>
      <w:r w:rsidR="008B1AF3">
        <w:t>.</w:t>
      </w:r>
      <w:r w:rsidR="00291290">
        <w:t xml:space="preserve"> Si è venut</w:t>
      </w:r>
      <w:r w:rsidR="008C23A0">
        <w:t>a</w:t>
      </w:r>
      <w:r w:rsidR="00291290">
        <w:t xml:space="preserve"> </w:t>
      </w:r>
      <w:r w:rsidR="008C23A0">
        <w:t>strutturando una</w:t>
      </w:r>
      <w:r w:rsidR="00291290">
        <w:t xml:space="preserve"> chiara separazione di responsabilità tra il livello municipale, che continua ad essere responsabile per M1, e quello regionale</w:t>
      </w:r>
      <w:r w:rsidR="00D33E51">
        <w:t xml:space="preserve"> (NUTS-2)</w:t>
      </w:r>
      <w:r w:rsidR="00291290">
        <w:t xml:space="preserve">, che si concentra su M2. I comuni raccolgono e conferiscono agli impianti </w:t>
      </w:r>
      <w:r w:rsidR="00CB4FB8">
        <w:t>individuati</w:t>
      </w:r>
      <w:r w:rsidR="00291290">
        <w:t xml:space="preserve"> dal piano, affidati, per quel che </w:t>
      </w:r>
      <w:proofErr w:type="spellStart"/>
      <w:r w:rsidR="00291290">
        <w:t>rigurada</w:t>
      </w:r>
      <w:proofErr w:type="spellEnd"/>
      <w:r w:rsidR="00291290">
        <w:t xml:space="preserve"> la gestione, alla competenza di autorità di secondo livello, ma anche di consorzi di comuni o di soggetti privati.</w:t>
      </w:r>
    </w:p>
    <w:p w14:paraId="1FC7707F" w14:textId="5E699C90" w:rsidR="00291290" w:rsidRDefault="00291290" w:rsidP="005D74B5">
      <w:r>
        <w:t>Sulla carta un tale modello avrebbe dovuto applicarsi anche in Italia; esso tuttavia non ha sempre funzionato adeguatamente</w:t>
      </w:r>
      <w:r w:rsidR="008327E1">
        <w:t xml:space="preserve"> (Bertossi et al., 2000)</w:t>
      </w:r>
      <w:r>
        <w:t xml:space="preserve">: vuoi per i lunghi tempi che l’elaborazione dei piani ha richiesto, vuoi per </w:t>
      </w:r>
      <w:r w:rsidR="004678BB">
        <w:t>le stime troppo ottimistiche in merito alla quantità di rifiuto residuo, vuoi soprattutto per l’eccessiv</w:t>
      </w:r>
      <w:r w:rsidR="00296E09">
        <w:t>a</w:t>
      </w:r>
      <w:r w:rsidR="004678BB">
        <w:t xml:space="preserve"> </w:t>
      </w:r>
      <w:r w:rsidR="00296E09">
        <w:t>fiducia</w:t>
      </w:r>
      <w:r w:rsidR="004678BB">
        <w:t xml:space="preserve"> ripost</w:t>
      </w:r>
      <w:r w:rsidR="00296E09">
        <w:t>a</w:t>
      </w:r>
      <w:r w:rsidR="004678BB">
        <w:t xml:space="preserve"> </w:t>
      </w:r>
      <w:r w:rsidR="00296E09">
        <w:t>ne</w:t>
      </w:r>
      <w:r w:rsidR="004678BB">
        <w:t xml:space="preserve">lle tecnologie di trattamento meccanico-biologico (TMB). Queste ultime venivano spesso considerate come attività di chiusura del ciclo, dando per scontato che i flussi in </w:t>
      </w:r>
      <w:proofErr w:type="gramStart"/>
      <w:r w:rsidR="004678BB">
        <w:t>uscita  avrebbero</w:t>
      </w:r>
      <w:proofErr w:type="gramEnd"/>
      <w:r w:rsidR="004678BB">
        <w:t xml:space="preserve"> trovato un mercato come combustibile secondario e compost</w:t>
      </w:r>
      <w:r w:rsidR="00C1753A">
        <w:t xml:space="preserve">, cosa che in realtà non avvenne </w:t>
      </w:r>
      <w:r w:rsidR="00842296">
        <w:t xml:space="preserve">quasi </w:t>
      </w:r>
      <w:r w:rsidR="00C1753A">
        <w:t>mai, obbligando i gestori alla ricerca di soluzioni estemporanee, anche fuori regione.</w:t>
      </w:r>
    </w:p>
    <w:p w14:paraId="066164A5" w14:textId="37BB0975" w:rsidR="0045547D" w:rsidRDefault="00C1753A" w:rsidP="005D74B5">
      <w:r>
        <w:t xml:space="preserve">Chi trovò una via d’uscita furono quei territori dove l’iniziativa dei soggetti gestori, </w:t>
      </w:r>
      <w:r w:rsidR="006B294E">
        <w:t>(</w:t>
      </w:r>
      <w:r>
        <w:t>sempre pubblici</w:t>
      </w:r>
      <w:r w:rsidR="006B294E">
        <w:t>) consentì di realizzare una dotazione adeguata di impianti</w:t>
      </w:r>
      <w:r w:rsidR="0045547D">
        <w:t>, che i piani regionali avrebbero successivamente recepito, indirizzando</w:t>
      </w:r>
      <w:r w:rsidR="00172DA1">
        <w:t>vi</w:t>
      </w:r>
      <w:r w:rsidR="0045547D">
        <w:t xml:space="preserve"> anche i RU provenienti dalle aree limitrofe</w:t>
      </w:r>
      <w:r w:rsidR="00172DA1">
        <w:t xml:space="preserve">. </w:t>
      </w:r>
    </w:p>
    <w:p w14:paraId="14555DE0" w14:textId="0708CC21" w:rsidR="00C1753A" w:rsidRDefault="006B294E" w:rsidP="005D74B5">
      <w:r>
        <w:t>Da questa esperienza (e dalla concomitante riforma dei servizi idrici) ebbe origine una caratteristica singolare del modello italiano, che per certi versi perdura tuttora, ossia il suo caratterizzarsi per l’integrazione verticale entro ambiti di gestione intercomunali</w:t>
      </w:r>
      <w:r w:rsidR="00D33E51">
        <w:t xml:space="preserve"> (NUTS-3)</w:t>
      </w:r>
      <w:r>
        <w:t>, entro i quali i comuni avrebbero mantenuto le competenze</w:t>
      </w:r>
      <w:r w:rsidR="00CB4FB8">
        <w:t xml:space="preserve"> sia per M1 che per M2</w:t>
      </w:r>
      <w:r>
        <w:t>, esercitandole in forme aggregate</w:t>
      </w:r>
      <w:r w:rsidR="00CB4FB8">
        <w:t>. Da qui la denominazione di</w:t>
      </w:r>
      <w:r>
        <w:t xml:space="preserve"> “servizio integrato</w:t>
      </w:r>
      <w:r w:rsidR="0045547D">
        <w:t>”</w:t>
      </w:r>
      <w:r w:rsidR="00CB4FB8">
        <w:t>, adottata dal legislatore fin dal Dlgs 22/97</w:t>
      </w:r>
      <w:r>
        <w:t>.</w:t>
      </w:r>
    </w:p>
    <w:p w14:paraId="71B56D9B" w14:textId="1DEB2443" w:rsidR="00291290" w:rsidRDefault="0045547D" w:rsidP="005D74B5">
      <w:r>
        <w:t xml:space="preserve">Questo originale modello conobbe diverse varianti. Dapprima intesa solo nella debole forma del coordinamento tra enti locali sotto la supervisione delle Regioni, la titolarità del servizio andò consolidandosi con il Dlgs 152/2006, ove fu prevista la costituzione di “autorità d’ambito” in rappresentanza dei comuni, e l’affidamento a un unico gestore dell’intero </w:t>
      </w:r>
      <w:r w:rsidR="00CA4AF4">
        <w:t>“</w:t>
      </w:r>
      <w:r>
        <w:t xml:space="preserve">servizio </w:t>
      </w:r>
      <w:r w:rsidR="00CA4AF4">
        <w:t xml:space="preserve">integrato” </w:t>
      </w:r>
      <w:r>
        <w:t xml:space="preserve">(M1 e M2, </w:t>
      </w:r>
      <w:r w:rsidR="00CA4AF4">
        <w:t>esteso fino alla</w:t>
      </w:r>
      <w:r>
        <w:t xml:space="preserve"> preparazione per il riciclo), nelle forme ammesse</w:t>
      </w:r>
      <w:r w:rsidR="002D7A9F">
        <w:t xml:space="preserve"> per la gestione dei servizi a rilevanza economica</w:t>
      </w:r>
      <w:r w:rsidR="00842296">
        <w:t>.</w:t>
      </w:r>
      <w:r w:rsidR="002D7A9F">
        <w:t xml:space="preserve"> </w:t>
      </w:r>
      <w:r w:rsidR="00842296">
        <w:t>N</w:t>
      </w:r>
      <w:r w:rsidR="00BB158F">
        <w:t>el 2009</w:t>
      </w:r>
      <w:r w:rsidR="002D7A9F">
        <w:t xml:space="preserve"> la prescrizione </w:t>
      </w:r>
      <w:r w:rsidR="00651EE2">
        <w:t>del gestore</w:t>
      </w:r>
      <w:r w:rsidR="002D7A9F">
        <w:t xml:space="preserve"> unico venne meno, </w:t>
      </w:r>
      <w:r w:rsidR="002B0ED7">
        <w:t>ammettendo la possibilità di affidare separatamente le singole attività che compongono il servizio</w:t>
      </w:r>
      <w:r w:rsidR="00BB158F">
        <w:t xml:space="preserve">. Con il referendum 2011 venne a cadere il </w:t>
      </w:r>
      <w:r w:rsidR="00BB158F" w:rsidRPr="00BB158F">
        <w:rPr>
          <w:i/>
          <w:iCs/>
        </w:rPr>
        <w:t>favor</w:t>
      </w:r>
      <w:r w:rsidR="00BB158F">
        <w:t xml:space="preserve"> fino ad allora concesso dal legislatore ai modelli di affidamento con gara, e l’affidamento in-house consolidò la propria legittimità.</w:t>
      </w:r>
      <w:r w:rsidR="00CB4FB8">
        <w:t xml:space="preserve"> Da ultimo, il Dlgs 201/2022 ha stabilito che il SGRU fa parte dei “servizi di interesse economico generale a rete”, escludendo dalle forme di affidamento legittime quelle non basate sulla forma societaria</w:t>
      </w:r>
      <w:r w:rsidR="00842296">
        <w:t xml:space="preserve"> e vietando di conseguenza ogni forma di gestione pubblicistica, in particolare la gestione in economia</w:t>
      </w:r>
      <w:r w:rsidR="008327E1">
        <w:t xml:space="preserve"> (Berardi, </w:t>
      </w:r>
      <w:r w:rsidR="00097D17">
        <w:t>2023)</w:t>
      </w:r>
      <w:r w:rsidR="00CB4FB8">
        <w:t>.</w:t>
      </w:r>
    </w:p>
    <w:p w14:paraId="679D4AC8" w14:textId="77777777" w:rsidR="000721D6" w:rsidRDefault="000721D6" w:rsidP="000721D6">
      <w:r>
        <w:t>Nel regime attuale, pertanto, il “servizio integrato” viene organizzato dagli enti locali in un modello di “cooperazione obbligatoria” (ambito territoriale ottimale, ATO), tramite il trasferimento delle funzioni comunali in capo ad appositi enti intercomunali (Ente di governo dell’ambito, EGA).  La norma prevede peraltro (art. 200 del TU Ambientale) la facoltà di non istituire questo regime nel caso in cui l’efficacia del servizio rispetto agli obiettivi delle strategie nazionali sia comunque garantita.</w:t>
      </w:r>
    </w:p>
    <w:p w14:paraId="184ABCE4" w14:textId="77777777" w:rsidR="000721D6" w:rsidRDefault="000721D6" w:rsidP="000721D6">
      <w:r>
        <w:lastRenderedPageBreak/>
        <w:t>Questo assetto non si è ancora affermato in modo omogeneo in tutto il paese (tab. 2). In molte Regioni le funzioni di regolazione locale sono accentrate, ma gli affidamenti sono sovente effettuati a un livello territoriale inferiore. Spesso, peraltro, questo assetto esiste solo sulla carta. Solo la Lombardia si è avvalsa della facoltà di non istituire gli ATO, lasciando le competenze ai comuni.</w:t>
      </w:r>
    </w:p>
    <w:p w14:paraId="063D2F54" w14:textId="77777777" w:rsidR="000721D6" w:rsidRDefault="000721D6" w:rsidP="000721D6">
      <w:r>
        <w:t>Il perimetro dell’affidamento include in genere solo M1 e, per quel che riguarda M2, tutt’al più qualche attività di trattamento intermedio. Gli impianti cui conferire il RU residuo sono invece individuati in modo separato attraverso una pluralità di soluzioni, sia in base alle indicazioni del piano regionale, sia autonomamente dal gestore tramite il mercato (v. il par. successivo).</w:t>
      </w:r>
    </w:p>
    <w:p w14:paraId="5BDE0869" w14:textId="11B105A0" w:rsidR="001E7CA6" w:rsidRDefault="001E7CA6" w:rsidP="001E7CA6">
      <w:pPr>
        <w:pStyle w:val="Titolofigureetabelle"/>
      </w:pPr>
      <w:r>
        <w:t xml:space="preserve">Tabella </w:t>
      </w:r>
      <w:r w:rsidR="00651EE2">
        <w:t>2</w:t>
      </w:r>
      <w:r>
        <w:t xml:space="preserve"> – Modelli di governance del SGRU nelle regioni italiane</w:t>
      </w:r>
    </w:p>
    <w:tbl>
      <w:tblPr>
        <w:tblStyle w:val="Grigliatabella"/>
        <w:tblW w:w="0" w:type="auto"/>
        <w:tblLook w:val="04A0" w:firstRow="1" w:lastRow="0" w:firstColumn="1" w:lastColumn="0" w:noHBand="0" w:noVBand="1"/>
      </w:tblPr>
      <w:tblGrid>
        <w:gridCol w:w="2830"/>
        <w:gridCol w:w="4253"/>
        <w:gridCol w:w="2545"/>
      </w:tblGrid>
      <w:tr w:rsidR="001E7CA6" w14:paraId="0A461AB4" w14:textId="77777777" w:rsidTr="00CD6872">
        <w:tc>
          <w:tcPr>
            <w:tcW w:w="2830" w:type="dxa"/>
          </w:tcPr>
          <w:p w14:paraId="6FF57B82" w14:textId="77777777" w:rsidR="001E7CA6" w:rsidRPr="00187F4E" w:rsidRDefault="001E7CA6" w:rsidP="00CD6872">
            <w:pPr>
              <w:pStyle w:val="Testotabella"/>
            </w:pPr>
            <w:r>
              <w:t>Modello di Governance</w:t>
            </w:r>
          </w:p>
        </w:tc>
        <w:tc>
          <w:tcPr>
            <w:tcW w:w="4253" w:type="dxa"/>
          </w:tcPr>
          <w:p w14:paraId="3790227D" w14:textId="77777777" w:rsidR="001E7CA6" w:rsidRPr="00187F4E" w:rsidRDefault="001E7CA6" w:rsidP="00CD6872">
            <w:pPr>
              <w:pStyle w:val="Testotabella"/>
            </w:pPr>
            <w:r>
              <w:t>Descrizione del modello</w:t>
            </w:r>
          </w:p>
        </w:tc>
        <w:tc>
          <w:tcPr>
            <w:tcW w:w="2545" w:type="dxa"/>
          </w:tcPr>
          <w:p w14:paraId="2F87DD6B" w14:textId="77777777" w:rsidR="001E7CA6" w:rsidRPr="00187F4E" w:rsidRDefault="001E7CA6" w:rsidP="00CD6872">
            <w:pPr>
              <w:pStyle w:val="Testotabella"/>
            </w:pPr>
            <w:r>
              <w:t>Esempi</w:t>
            </w:r>
          </w:p>
        </w:tc>
      </w:tr>
      <w:tr w:rsidR="001E7CA6" w:rsidRPr="00187F4E" w14:paraId="2172C0BD" w14:textId="77777777" w:rsidTr="00CD6872">
        <w:tc>
          <w:tcPr>
            <w:tcW w:w="2830" w:type="dxa"/>
          </w:tcPr>
          <w:p w14:paraId="3E7B3425" w14:textId="77777777" w:rsidR="001E7CA6" w:rsidRPr="00187F4E" w:rsidRDefault="001E7CA6" w:rsidP="00CD6872">
            <w:pPr>
              <w:pStyle w:val="Testotabella"/>
            </w:pPr>
            <w:r w:rsidRPr="00187F4E">
              <w:t>Gestione unica d’ambito di dimensione so</w:t>
            </w:r>
            <w:r>
              <w:t>vra-provinciale</w:t>
            </w:r>
          </w:p>
        </w:tc>
        <w:tc>
          <w:tcPr>
            <w:tcW w:w="4253" w:type="dxa"/>
          </w:tcPr>
          <w:p w14:paraId="178C5798" w14:textId="77777777" w:rsidR="001E7CA6" w:rsidRDefault="001E7CA6" w:rsidP="00CD6872">
            <w:pPr>
              <w:pStyle w:val="Testotabella"/>
            </w:pPr>
            <w:r>
              <w:t>Coincidenza tra ATO e bacino di affidamento della gestione</w:t>
            </w:r>
          </w:p>
          <w:p w14:paraId="7E092820" w14:textId="77777777" w:rsidR="001E7CA6" w:rsidRPr="00187F4E" w:rsidRDefault="001E7CA6" w:rsidP="00CD6872">
            <w:pPr>
              <w:pStyle w:val="Testotabella"/>
            </w:pPr>
            <w:r>
              <w:t>Per ogni ATO è previsto un EGA</w:t>
            </w:r>
          </w:p>
        </w:tc>
        <w:tc>
          <w:tcPr>
            <w:tcW w:w="2545" w:type="dxa"/>
          </w:tcPr>
          <w:p w14:paraId="40553F86" w14:textId="77777777" w:rsidR="001E7CA6" w:rsidRPr="00187F4E" w:rsidRDefault="001E7CA6" w:rsidP="00CD6872">
            <w:pPr>
              <w:pStyle w:val="Testotabella"/>
            </w:pPr>
            <w:r>
              <w:t>Toscana</w:t>
            </w:r>
          </w:p>
        </w:tc>
      </w:tr>
      <w:tr w:rsidR="001E7CA6" w:rsidRPr="00187F4E" w14:paraId="7A710E16" w14:textId="77777777" w:rsidTr="00CD6872">
        <w:tc>
          <w:tcPr>
            <w:tcW w:w="2830" w:type="dxa"/>
          </w:tcPr>
          <w:p w14:paraId="4A58C9F5" w14:textId="77777777" w:rsidR="001E7CA6" w:rsidRPr="00187F4E" w:rsidRDefault="001E7CA6" w:rsidP="00CD6872">
            <w:pPr>
              <w:pStyle w:val="Testotabella"/>
            </w:pPr>
            <w:r>
              <w:t>Ambito regionale e sub-ambiti di affidamento</w:t>
            </w:r>
          </w:p>
        </w:tc>
        <w:tc>
          <w:tcPr>
            <w:tcW w:w="4253" w:type="dxa"/>
          </w:tcPr>
          <w:p w14:paraId="4B4897CA" w14:textId="77777777" w:rsidR="001E7CA6" w:rsidRDefault="001E7CA6" w:rsidP="00CD6872">
            <w:pPr>
              <w:pStyle w:val="Testotabella"/>
            </w:pPr>
            <w:r>
              <w:t>ATO regionale; sub-ambiti provinciali e bacini di affidamento</w:t>
            </w:r>
          </w:p>
          <w:p w14:paraId="3AF40DC7" w14:textId="77777777" w:rsidR="001E7CA6" w:rsidRPr="00187F4E" w:rsidRDefault="001E7CA6" w:rsidP="00CD6872">
            <w:pPr>
              <w:pStyle w:val="Testotabella"/>
            </w:pPr>
            <w:r>
              <w:t>1 EGA a livello regionale; altri enti possono esercitare alcune competenze a livello di bacino di affidamento</w:t>
            </w:r>
          </w:p>
        </w:tc>
        <w:tc>
          <w:tcPr>
            <w:tcW w:w="2545" w:type="dxa"/>
          </w:tcPr>
          <w:p w14:paraId="3FC16CA0" w14:textId="77777777" w:rsidR="001E7CA6" w:rsidRPr="00187F4E" w:rsidRDefault="001E7CA6" w:rsidP="00CD6872">
            <w:pPr>
              <w:pStyle w:val="Testotabella"/>
            </w:pPr>
            <w:r w:rsidRPr="00391AA5">
              <w:rPr>
                <w:i/>
                <w:iCs/>
              </w:rPr>
              <w:t>Piemonte</w:t>
            </w:r>
            <w:r>
              <w:t xml:space="preserve">; Valle d’Aosta; </w:t>
            </w:r>
            <w:r w:rsidRPr="00391AA5">
              <w:rPr>
                <w:i/>
                <w:iCs/>
              </w:rPr>
              <w:t>Liguria</w:t>
            </w:r>
            <w:r>
              <w:t>; Veneto; Friuli Venezia Giulia; Emilia-</w:t>
            </w:r>
            <w:proofErr w:type="gramStart"/>
            <w:r>
              <w:t>Romagna;  Umbria</w:t>
            </w:r>
            <w:proofErr w:type="gramEnd"/>
            <w:r>
              <w:t xml:space="preserve">; Abruzzo; </w:t>
            </w:r>
            <w:r w:rsidRPr="00391AA5">
              <w:rPr>
                <w:i/>
                <w:iCs/>
              </w:rPr>
              <w:t>Molise</w:t>
            </w:r>
            <w:r>
              <w:t xml:space="preserve">; Basilicata; Puglia; </w:t>
            </w:r>
            <w:r w:rsidRPr="00391AA5">
              <w:rPr>
                <w:i/>
                <w:iCs/>
              </w:rPr>
              <w:t>Calabria</w:t>
            </w:r>
            <w:r>
              <w:t xml:space="preserve">; </w:t>
            </w:r>
            <w:r w:rsidRPr="00391AA5">
              <w:rPr>
                <w:i/>
                <w:iCs/>
              </w:rPr>
              <w:t>Sardegna</w:t>
            </w:r>
            <w:r>
              <w:t xml:space="preserve">; </w:t>
            </w:r>
          </w:p>
        </w:tc>
      </w:tr>
      <w:tr w:rsidR="001E7CA6" w:rsidRPr="00187F4E" w14:paraId="7F001A03" w14:textId="77777777" w:rsidTr="00CD6872">
        <w:tc>
          <w:tcPr>
            <w:tcW w:w="2830" w:type="dxa"/>
          </w:tcPr>
          <w:p w14:paraId="5E366BA2" w14:textId="77777777" w:rsidR="001E7CA6" w:rsidRPr="00187F4E" w:rsidRDefault="001E7CA6" w:rsidP="00CD6872">
            <w:pPr>
              <w:pStyle w:val="Testotabella"/>
            </w:pPr>
            <w:r>
              <w:t>Ambiti provinciali</w:t>
            </w:r>
          </w:p>
        </w:tc>
        <w:tc>
          <w:tcPr>
            <w:tcW w:w="4253" w:type="dxa"/>
          </w:tcPr>
          <w:p w14:paraId="68CC199D" w14:textId="77777777" w:rsidR="001E7CA6" w:rsidRPr="00187F4E" w:rsidRDefault="001E7CA6" w:rsidP="00CD6872">
            <w:pPr>
              <w:pStyle w:val="Testotabella"/>
            </w:pPr>
            <w:r>
              <w:t>ATO provinciali; 1 EGA per ciascun ATO</w:t>
            </w:r>
          </w:p>
        </w:tc>
        <w:tc>
          <w:tcPr>
            <w:tcW w:w="2545" w:type="dxa"/>
          </w:tcPr>
          <w:p w14:paraId="78FF8E39" w14:textId="77777777" w:rsidR="001E7CA6" w:rsidRPr="00187F4E" w:rsidRDefault="001E7CA6" w:rsidP="00CD6872">
            <w:pPr>
              <w:pStyle w:val="Testotabella"/>
            </w:pPr>
            <w:r w:rsidRPr="00391AA5">
              <w:rPr>
                <w:i/>
                <w:iCs/>
              </w:rPr>
              <w:t>Campania</w:t>
            </w:r>
            <w:r>
              <w:t xml:space="preserve">; Marche; </w:t>
            </w:r>
            <w:r w:rsidRPr="00391AA5">
              <w:rPr>
                <w:i/>
                <w:iCs/>
              </w:rPr>
              <w:t>Lazio</w:t>
            </w:r>
            <w:r>
              <w:t xml:space="preserve">; </w:t>
            </w:r>
            <w:r w:rsidRPr="00391AA5">
              <w:rPr>
                <w:i/>
                <w:iCs/>
              </w:rPr>
              <w:t>Sicilia</w:t>
            </w:r>
            <w:r>
              <w:t xml:space="preserve">; </w:t>
            </w:r>
            <w:r w:rsidRPr="00391AA5">
              <w:rPr>
                <w:i/>
                <w:iCs/>
              </w:rPr>
              <w:t>Trentino-Alto Adige</w:t>
            </w:r>
          </w:p>
        </w:tc>
      </w:tr>
      <w:tr w:rsidR="001E7CA6" w:rsidRPr="00187F4E" w14:paraId="56124011" w14:textId="77777777" w:rsidTr="00CD6872">
        <w:tc>
          <w:tcPr>
            <w:tcW w:w="2830" w:type="dxa"/>
          </w:tcPr>
          <w:p w14:paraId="41F2E84A" w14:textId="77777777" w:rsidR="001E7CA6" w:rsidRDefault="001E7CA6" w:rsidP="00CD6872">
            <w:pPr>
              <w:pStyle w:val="Testotabella"/>
            </w:pPr>
            <w:r>
              <w:t>No ambiti</w:t>
            </w:r>
          </w:p>
        </w:tc>
        <w:tc>
          <w:tcPr>
            <w:tcW w:w="4253" w:type="dxa"/>
          </w:tcPr>
          <w:p w14:paraId="1EC63AD2" w14:textId="77777777" w:rsidR="001E7CA6" w:rsidRPr="00187F4E" w:rsidRDefault="001E7CA6" w:rsidP="00CD6872">
            <w:pPr>
              <w:pStyle w:val="Testotabella"/>
            </w:pPr>
            <w:r>
              <w:t>I comuni, singolarmente o associati su base volontaria, affidano e controllano il servizio e svolgono le funzioni di EGA</w:t>
            </w:r>
          </w:p>
        </w:tc>
        <w:tc>
          <w:tcPr>
            <w:tcW w:w="2545" w:type="dxa"/>
          </w:tcPr>
          <w:p w14:paraId="35CB5F42" w14:textId="77777777" w:rsidR="001E7CA6" w:rsidRPr="00187F4E" w:rsidRDefault="001E7CA6" w:rsidP="00CD6872">
            <w:pPr>
              <w:pStyle w:val="Testotabella"/>
            </w:pPr>
            <w:r>
              <w:t>Lombardia</w:t>
            </w:r>
          </w:p>
        </w:tc>
      </w:tr>
    </w:tbl>
    <w:p w14:paraId="1530A4E5" w14:textId="77777777" w:rsidR="001E7CA6" w:rsidRPr="00E31CF7" w:rsidRDefault="001E7CA6" w:rsidP="001E7CA6">
      <w:pPr>
        <w:pStyle w:val="Finefiguraetabella"/>
        <w:rPr>
          <w:lang w:val="it-IT"/>
        </w:rPr>
      </w:pPr>
      <w:r w:rsidRPr="00E31CF7">
        <w:rPr>
          <w:lang w:val="it-IT"/>
        </w:rPr>
        <w:t xml:space="preserve">Fonte: Utilitatis, 2024 (in </w:t>
      </w:r>
      <w:r w:rsidRPr="00391AA5">
        <w:rPr>
          <w:i/>
          <w:iCs/>
          <w:lang w:val="it-IT"/>
        </w:rPr>
        <w:t>corsivo</w:t>
      </w:r>
      <w:r w:rsidRPr="00E31CF7">
        <w:rPr>
          <w:lang w:val="it-IT"/>
        </w:rPr>
        <w:t xml:space="preserve"> le </w:t>
      </w:r>
      <w:r>
        <w:rPr>
          <w:lang w:val="it-IT"/>
        </w:rPr>
        <w:t>regioni in cui l’assetto è previsto ma non ancora a regime)</w:t>
      </w:r>
    </w:p>
    <w:p w14:paraId="64D747BC" w14:textId="627EF463" w:rsidR="00BF3CAA" w:rsidRDefault="002679EB" w:rsidP="003331D2">
      <w:pPr>
        <w:pStyle w:val="Titolo3"/>
      </w:pPr>
      <w:r>
        <w:t>P</w:t>
      </w:r>
      <w:r w:rsidR="00BF3CAA">
        <w:t>rincipio di autosufficienza e monopolio legale</w:t>
      </w:r>
    </w:p>
    <w:p w14:paraId="6199337F" w14:textId="015E8510" w:rsidR="005D74B5" w:rsidRDefault="005D74B5" w:rsidP="005D74B5">
      <w:r>
        <w:t xml:space="preserve">Il regime italiano </w:t>
      </w:r>
      <w:r w:rsidR="000721D6">
        <w:t>comprende nel perimetro del servizio pubblico praticamente l’intera filiera (tutte le attività M1 ed M2</w:t>
      </w:r>
      <w:r w:rsidR="00F67A82">
        <w:t>, ed M3</w:t>
      </w:r>
      <w:r w:rsidR="000721D6">
        <w:t xml:space="preserve"> fino alla preparazione per il riciclo) ma poi </w:t>
      </w:r>
      <w:r>
        <w:t>distingue, in modo un po’ artificioso</w:t>
      </w:r>
      <w:r w:rsidR="00E340AB">
        <w:t xml:space="preserve"> e sommario</w:t>
      </w:r>
      <w:r>
        <w:t xml:space="preserve">, tra attività di smaltimento e attività di recupero e riciclo, stabilendo che le prime rimangono incluse nel perimetro del SGRU, mentre le seconde si svolgono in regime di concorrenza. </w:t>
      </w:r>
    </w:p>
    <w:p w14:paraId="47B0F954" w14:textId="22F770B1" w:rsidR="00745A6D" w:rsidRDefault="00745A6D" w:rsidP="00745A6D">
      <w:r>
        <w:t>In teoria, quindi, l’autosufficienza, e con essa l’affermazione di una privativa da parte del gestore del SGRU</w:t>
      </w:r>
      <w:r w:rsidR="00BD01AB">
        <w:t>,</w:t>
      </w:r>
      <w:r>
        <w:t xml:space="preserve"> dovrebbe declinarsi a livello regionale solo per lo smaltimento</w:t>
      </w:r>
      <w:r w:rsidR="00110BEB">
        <w:t xml:space="preserve"> (discarica e incenerimento senza recupero di energia)</w:t>
      </w:r>
      <w:r w:rsidR="008C23A0">
        <w:t>.</w:t>
      </w:r>
      <w:r>
        <w:t xml:space="preserve">  </w:t>
      </w:r>
    </w:p>
    <w:p w14:paraId="4D597F01" w14:textId="35AD8FD4" w:rsidR="005D74B5" w:rsidRDefault="005D74B5" w:rsidP="005D74B5">
      <w:r>
        <w:t xml:space="preserve">Questa distinzione, ragionevole e intuitiva sulla base del diritto ambientale (che classifica separatamente le </w:t>
      </w:r>
      <w:r w:rsidR="00BD01AB">
        <w:t>operazioni</w:t>
      </w:r>
      <w:r>
        <w:t xml:space="preserve"> di smaltimento e di recupero), non lo è altrettanto sul piano economico-regolatorio: qui non conta </w:t>
      </w:r>
      <w:r w:rsidR="00651EE2">
        <w:t>infatti</w:t>
      </w:r>
      <w:r>
        <w:t xml:space="preserve"> che dal rifiuto si possa o meno recuperare qualcosa, ma semmai il grado di sostituibilità tra le diverse possibili destinazioni</w:t>
      </w:r>
      <w:r w:rsidR="00097D17">
        <w:t xml:space="preserve"> e</w:t>
      </w:r>
      <w:r>
        <w:t xml:space="preserve"> l’eventuale potere di mercato di cui possono disporre gli operatori, qualora </w:t>
      </w:r>
      <w:r w:rsidR="003E1CBA">
        <w:t>non siano disponibili</w:t>
      </w:r>
      <w:r>
        <w:t xml:space="preserve"> alternative </w:t>
      </w:r>
      <w:r w:rsidR="00FF01CF">
        <w:t>concrete</w:t>
      </w:r>
      <w:r w:rsidR="00097D17">
        <w:t>;</w:t>
      </w:r>
      <w:r w:rsidR="00947E40">
        <w:t xml:space="preserve"> </w:t>
      </w:r>
      <w:r w:rsidR="00097D17">
        <w:t>ancora,</w:t>
      </w:r>
      <w:r w:rsidR="00947E40">
        <w:t xml:space="preserve"> </w:t>
      </w:r>
      <w:r w:rsidR="00097D17">
        <w:t xml:space="preserve">può esservi </w:t>
      </w:r>
      <w:r w:rsidR="00947E40">
        <w:t xml:space="preserve">l’esigenza di garantire la sostenibilità finanziaria degli investimenti necessari per assicurare al territorio un’adeguata capacità. Vanno considerati anche i costi di trasporto, che sono abbastanza rilevanti su gomma (0,15-0,25 €/t/km), di un ordine di grandezza inferiore utilizzando il ferro o la nave, che però è cosa possibile solo in presenza di un flusso relativamente stabile nel tempo. </w:t>
      </w:r>
      <w:r>
        <w:t xml:space="preserve"> </w:t>
      </w:r>
    </w:p>
    <w:p w14:paraId="7D6A2A78" w14:textId="1ED1F53B" w:rsidR="005D74B5" w:rsidRDefault="005D74B5" w:rsidP="005D74B5">
      <w:r>
        <w:t xml:space="preserve">La natura di </w:t>
      </w:r>
      <w:r w:rsidRPr="00061EC9">
        <w:rPr>
          <w:i/>
          <w:iCs/>
        </w:rPr>
        <w:t>essential facility</w:t>
      </w:r>
      <w:r>
        <w:t xml:space="preserve">, in altre parole, non </w:t>
      </w:r>
      <w:r w:rsidR="00FF01CF">
        <w:t>deriva dal</w:t>
      </w:r>
      <w:r>
        <w:t>l’attività svolta (smaltimento o recupero), potendo caratterizzare anche impianti classificati come recupero, e in particolare quelli destinati alle frazioni di minor valore intrinseco (</w:t>
      </w:r>
      <w:r w:rsidR="003E1CBA">
        <w:t>come</w:t>
      </w:r>
      <w:r w:rsidR="00FF01CF">
        <w:t xml:space="preserve"> </w:t>
      </w:r>
      <w:r w:rsidR="00AD393F">
        <w:t>quelle</w:t>
      </w:r>
      <w:r w:rsidR="00FF01CF">
        <w:t xml:space="preserve"> destinat</w:t>
      </w:r>
      <w:r w:rsidR="00AD393F">
        <w:t>e</w:t>
      </w:r>
      <w:r w:rsidR="00FF01CF">
        <w:t xml:space="preserve"> </w:t>
      </w:r>
      <w:r w:rsidR="00AD393F">
        <w:t>al</w:t>
      </w:r>
      <w:r w:rsidR="00FF01CF">
        <w:t xml:space="preserve"> recupero energetico, e quell</w:t>
      </w:r>
      <w:r w:rsidR="00AD393F">
        <w:t>e</w:t>
      </w:r>
      <w:r w:rsidR="00FF01CF">
        <w:t xml:space="preserve"> di matrice organica</w:t>
      </w:r>
      <w:r>
        <w:t xml:space="preserve">). </w:t>
      </w:r>
    </w:p>
    <w:p w14:paraId="3AA1B42C" w14:textId="6E2F17BD" w:rsidR="005D74B5" w:rsidRDefault="00947E40" w:rsidP="005D74B5">
      <w:r>
        <w:t xml:space="preserve">Assoggettare questi </w:t>
      </w:r>
      <w:r w:rsidR="00097D17">
        <w:t>flussi</w:t>
      </w:r>
      <w:r>
        <w:t xml:space="preserve"> alla pianificazione</w:t>
      </w:r>
      <w:r w:rsidR="008B5C32">
        <w:t xml:space="preserve"> può risolvere queste difficoltà ma</w:t>
      </w:r>
      <w:r w:rsidR="005D74B5">
        <w:t xml:space="preserve"> </w:t>
      </w:r>
      <w:r w:rsidR="00CC6DF1">
        <w:t xml:space="preserve">ha </w:t>
      </w:r>
      <w:r w:rsidR="005D74B5">
        <w:t xml:space="preserve">anche un costo, in quanto </w:t>
      </w:r>
      <w:r w:rsidR="003E2B74">
        <w:t>impedisce</w:t>
      </w:r>
      <w:r w:rsidR="005D74B5">
        <w:t xml:space="preserve"> di ricorrere a soluzioni meno costose attraverso il mercato</w:t>
      </w:r>
      <w:r w:rsidR="00CC6DF1">
        <w:t>, quando queste sono disponibili</w:t>
      </w:r>
      <w:r w:rsidR="005D74B5">
        <w:t>.</w:t>
      </w:r>
    </w:p>
    <w:p w14:paraId="61BA2E68" w14:textId="02B5F34D" w:rsidR="00CC6DF1" w:rsidRDefault="008B5C32" w:rsidP="005D74B5">
      <w:r>
        <w:lastRenderedPageBreak/>
        <w:t>Ad esempio,</w:t>
      </w:r>
      <w:r w:rsidR="00CC6DF1">
        <w:t xml:space="preserve"> i rifiuti combustibili che si originano dagli impianti TMB</w:t>
      </w:r>
      <w:r w:rsidR="00E3100C">
        <w:t xml:space="preserve"> po</w:t>
      </w:r>
      <w:r w:rsidR="00BD01AB">
        <w:t>trebbero almeno in teoria</w:t>
      </w:r>
      <w:r w:rsidR="00E3100C">
        <w:t xml:space="preserve"> trovare destinazione in impianti al di fuori del </w:t>
      </w:r>
      <w:r w:rsidR="00097D17">
        <w:t>territorio</w:t>
      </w:r>
      <w:r w:rsidR="00E3100C">
        <w:t xml:space="preserve"> regionale. In passato, per tali flussi si è spesso “chiuso un occhio”, permettendo di collocarli fuori regione, laddove non si disponesse localmente di impianti adeguati, anche perché la norma era al </w:t>
      </w:r>
      <w:r>
        <w:t>riguardo</w:t>
      </w:r>
      <w:r w:rsidR="00E3100C">
        <w:t xml:space="preserve"> ambigua. Sebbene oggi sia chiaramente stabilito che i TMB svolgono solo attività di trattamento intermedio e quindi i flussi in uscita siano a tutti gli effetti ancora dei RU, tale possibilità non è sempre </w:t>
      </w:r>
      <w:r>
        <w:t xml:space="preserve">categoricamente </w:t>
      </w:r>
      <w:r w:rsidR="00E3100C">
        <w:t>esclusa. Rimane poi il fatto che, se sufficientemente raffinati al punto da classificarsi come “combustibili solidi secondari”</w:t>
      </w:r>
      <w:r w:rsidR="00BD01AB">
        <w:t xml:space="preserve"> (CSS)</w:t>
      </w:r>
      <w:r w:rsidR="00E3100C">
        <w:t>, è pur sempre ammesso il co-incenerimento (in impianti industriali che utilizzano combustibili solidi</w:t>
      </w:r>
      <w:r w:rsidR="00AD393F">
        <w:t>, anche fuori dal territorio italiano</w:t>
      </w:r>
      <w:r w:rsidR="00E3100C">
        <w:t>). I</w:t>
      </w:r>
      <w:r>
        <w:t>n</w:t>
      </w:r>
      <w:r w:rsidR="00E3100C">
        <w:t xml:space="preserve"> tutti questi casi, i flussi possono così svincolarsi dalle prescrizioni di piano.   </w:t>
      </w:r>
    </w:p>
    <w:p w14:paraId="6889CF3A" w14:textId="38A89E0D" w:rsidR="005D74B5" w:rsidRDefault="005D74B5" w:rsidP="005D74B5">
      <w:r>
        <w:t xml:space="preserve">Vi sono poi i “flussi di ritorno” rappresentati dagli scarti delle attività di selezione e trattamento dei materiali destinati al riciclo e provenienti dalla raccolta differenziata, soprattutto dei materiali plastici e degli imballaggi compositi. Queste attività sono svolte sempre più a carico dei </w:t>
      </w:r>
      <w:r w:rsidR="00E3100C">
        <w:t>sistemi EPR</w:t>
      </w:r>
      <w:r>
        <w:t xml:space="preserve">, ma ciò non toglie che si tratta di rifiuti che, sebbene classificati “speciali” in quanto prodotti da fasi industriali di lavorazione, si originano pur sempre dal RU e andrebbero quindi contabilizzati come flussi pertinenti al </w:t>
      </w:r>
      <w:r w:rsidR="00E3100C">
        <w:t>SGRU</w:t>
      </w:r>
      <w:r>
        <w:t>; tuttavia, risulta pressoché impossibile tracciarne l’origine territoriale.</w:t>
      </w:r>
    </w:p>
    <w:p w14:paraId="09DFDCB5" w14:textId="77777777" w:rsidR="005D74B5" w:rsidRDefault="005D74B5" w:rsidP="005D74B5">
      <w:r>
        <w:t>E infine i flussi che si originano nelle regioni che si trovano in emergenza per carenza di impianti sul proprio territorio, e che tramite procedure straordinarie sono autorizzate ad acquisire fuori regione la capacità necessaria.</w:t>
      </w:r>
    </w:p>
    <w:p w14:paraId="41ED5C85" w14:textId="15407613" w:rsidR="005D74B5" w:rsidRDefault="005D74B5" w:rsidP="005D74B5">
      <w:r>
        <w:t xml:space="preserve">Tutte queste dinamiche hanno reso gli impianti di incenerimento </w:t>
      </w:r>
      <w:r w:rsidR="00745A6D">
        <w:t xml:space="preserve">e di trattamento dell’organico </w:t>
      </w:r>
      <w:r>
        <w:t xml:space="preserve">meno vincolati al territorio, richiedendo che una capacità consistente sia destinata a trattare flussi provenienti dal mercato. </w:t>
      </w:r>
    </w:p>
    <w:p w14:paraId="238E39EF" w14:textId="11C92676" w:rsidR="0033265C" w:rsidRDefault="0033265C" w:rsidP="0033265C">
      <w:pPr>
        <w:pStyle w:val="Titolofigureetabelle"/>
      </w:pPr>
      <w:r>
        <w:t xml:space="preserve">Tabella </w:t>
      </w:r>
      <w:r w:rsidR="000419E4">
        <w:t>3</w:t>
      </w:r>
      <w:r>
        <w:t xml:space="preserve"> – </w:t>
      </w:r>
      <w:r w:rsidR="00BD01AB">
        <w:t>Regimi istituzionali</w:t>
      </w:r>
      <w:r>
        <w:t xml:space="preserve"> per l’accesso agli impianti di trattamento</w:t>
      </w:r>
    </w:p>
    <w:tbl>
      <w:tblPr>
        <w:tblStyle w:val="Grigliatabella"/>
        <w:tblW w:w="0" w:type="auto"/>
        <w:tblLook w:val="04A0" w:firstRow="1" w:lastRow="0" w:firstColumn="1" w:lastColumn="0" w:noHBand="0" w:noVBand="1"/>
      </w:tblPr>
      <w:tblGrid>
        <w:gridCol w:w="299"/>
        <w:gridCol w:w="1256"/>
        <w:gridCol w:w="8073"/>
      </w:tblGrid>
      <w:tr w:rsidR="0033265C" w:rsidRPr="000E0545" w14:paraId="761E405E" w14:textId="77777777" w:rsidTr="00041332">
        <w:tc>
          <w:tcPr>
            <w:tcW w:w="1555" w:type="dxa"/>
            <w:gridSpan w:val="2"/>
          </w:tcPr>
          <w:p w14:paraId="22514909" w14:textId="74B3089D" w:rsidR="0033265C" w:rsidRPr="000E0545" w:rsidRDefault="00AF61A6" w:rsidP="00CD6872">
            <w:pPr>
              <w:pStyle w:val="Nessunaspaziatura"/>
              <w:rPr>
                <w:smallCaps/>
                <w:sz w:val="18"/>
                <w:szCs w:val="18"/>
              </w:rPr>
            </w:pPr>
            <w:r>
              <w:rPr>
                <w:smallCaps/>
                <w:sz w:val="18"/>
                <w:szCs w:val="18"/>
              </w:rPr>
              <w:t>Regime</w:t>
            </w:r>
          </w:p>
        </w:tc>
        <w:tc>
          <w:tcPr>
            <w:tcW w:w="8073" w:type="dxa"/>
          </w:tcPr>
          <w:p w14:paraId="236BB57D" w14:textId="77777777" w:rsidR="0033265C" w:rsidRPr="000E0545" w:rsidRDefault="0033265C" w:rsidP="00CD6872">
            <w:pPr>
              <w:pStyle w:val="Nessunaspaziatura"/>
              <w:rPr>
                <w:smallCaps/>
                <w:sz w:val="18"/>
                <w:szCs w:val="18"/>
              </w:rPr>
            </w:pPr>
            <w:r w:rsidRPr="000E0545">
              <w:rPr>
                <w:smallCaps/>
                <w:sz w:val="18"/>
                <w:szCs w:val="18"/>
              </w:rPr>
              <w:t>Caratteristiche</w:t>
            </w:r>
          </w:p>
        </w:tc>
      </w:tr>
      <w:tr w:rsidR="00041332" w:rsidRPr="000E0545" w14:paraId="51F4EA31" w14:textId="77777777" w:rsidTr="00041332">
        <w:tc>
          <w:tcPr>
            <w:tcW w:w="299" w:type="dxa"/>
            <w:vAlign w:val="center"/>
          </w:tcPr>
          <w:p w14:paraId="43A10679" w14:textId="4778341B" w:rsidR="00041332" w:rsidRDefault="00041332" w:rsidP="00CD6872">
            <w:pPr>
              <w:pStyle w:val="Nessunaspaziatura"/>
              <w:rPr>
                <w:rFonts w:ascii="Arial Narrow" w:hAnsi="Arial Narrow"/>
                <w:sz w:val="18"/>
                <w:szCs w:val="18"/>
              </w:rPr>
            </w:pPr>
            <w:r>
              <w:rPr>
                <w:rFonts w:ascii="Arial Narrow" w:hAnsi="Arial Narrow"/>
                <w:sz w:val="18"/>
                <w:szCs w:val="18"/>
              </w:rPr>
              <w:t>1</w:t>
            </w:r>
          </w:p>
        </w:tc>
        <w:tc>
          <w:tcPr>
            <w:tcW w:w="1256" w:type="dxa"/>
            <w:vAlign w:val="center"/>
          </w:tcPr>
          <w:p w14:paraId="01984CB0" w14:textId="1171539A" w:rsidR="00041332" w:rsidRPr="000E0545" w:rsidRDefault="00041332" w:rsidP="00041332">
            <w:pPr>
              <w:pStyle w:val="Nessunaspaziatura"/>
              <w:jc w:val="left"/>
              <w:rPr>
                <w:rFonts w:ascii="Arial Narrow" w:hAnsi="Arial Narrow"/>
                <w:sz w:val="18"/>
                <w:szCs w:val="18"/>
              </w:rPr>
            </w:pPr>
            <w:r w:rsidRPr="000E0545">
              <w:rPr>
                <w:rFonts w:ascii="Arial Narrow" w:hAnsi="Arial Narrow"/>
                <w:sz w:val="18"/>
                <w:szCs w:val="18"/>
              </w:rPr>
              <w:t>Integrazione verticale diretta</w:t>
            </w:r>
          </w:p>
        </w:tc>
        <w:tc>
          <w:tcPr>
            <w:tcW w:w="8073" w:type="dxa"/>
          </w:tcPr>
          <w:p w14:paraId="4AC2BD33" w14:textId="77777777" w:rsidR="00041332" w:rsidRPr="000E0545" w:rsidRDefault="00041332" w:rsidP="00CD6872">
            <w:pPr>
              <w:pStyle w:val="Testotabella"/>
            </w:pPr>
            <w:r w:rsidRPr="000E0545">
              <w:t>Gli impianti sono di proprietà del titolare dell’affidamento</w:t>
            </w:r>
          </w:p>
          <w:p w14:paraId="2BE12F63" w14:textId="1CF96ED1" w:rsidR="00041332" w:rsidRPr="000E0545" w:rsidRDefault="00041332" w:rsidP="00CD6872">
            <w:pPr>
              <w:pStyle w:val="Nessunaspaziatura"/>
              <w:rPr>
                <w:rFonts w:ascii="Arial Narrow" w:hAnsi="Arial Narrow"/>
                <w:sz w:val="18"/>
                <w:szCs w:val="18"/>
              </w:rPr>
            </w:pPr>
            <w:r w:rsidRPr="000E0545">
              <w:rPr>
                <w:rFonts w:ascii="Arial Narrow" w:hAnsi="Arial Narrow"/>
                <w:sz w:val="18"/>
                <w:szCs w:val="18"/>
              </w:rPr>
              <w:t xml:space="preserve">I costi sono rilevati </w:t>
            </w:r>
            <w:r>
              <w:rPr>
                <w:rFonts w:ascii="Arial Narrow" w:hAnsi="Arial Narrow"/>
                <w:sz w:val="18"/>
                <w:szCs w:val="18"/>
              </w:rPr>
              <w:t>direttamente ne</w:t>
            </w:r>
            <w:r w:rsidRPr="000E0545">
              <w:rPr>
                <w:rFonts w:ascii="Arial Narrow" w:hAnsi="Arial Narrow"/>
                <w:sz w:val="18"/>
                <w:szCs w:val="18"/>
              </w:rPr>
              <w:t>l bilancio dell’operatore</w:t>
            </w:r>
            <w:r>
              <w:rPr>
                <w:rFonts w:ascii="Arial Narrow" w:hAnsi="Arial Narrow"/>
                <w:sz w:val="18"/>
                <w:szCs w:val="18"/>
              </w:rPr>
              <w:t xml:space="preserve"> e concorrono a formare le entrate tariffarie riconosciute</w:t>
            </w:r>
          </w:p>
          <w:p w14:paraId="78E3B071" w14:textId="147CB4FC" w:rsidR="00041332" w:rsidRPr="000E0545" w:rsidRDefault="00041332" w:rsidP="00CD6872">
            <w:pPr>
              <w:pStyle w:val="Nessunaspaziatura"/>
              <w:rPr>
                <w:rFonts w:ascii="Arial Narrow" w:hAnsi="Arial Narrow"/>
                <w:sz w:val="18"/>
                <w:szCs w:val="18"/>
              </w:rPr>
            </w:pPr>
            <w:r>
              <w:rPr>
                <w:rFonts w:ascii="Arial Narrow" w:hAnsi="Arial Narrow"/>
                <w:sz w:val="18"/>
                <w:szCs w:val="18"/>
              </w:rPr>
              <w:t xml:space="preserve">Flussi interessati: RU indifferenziato diretto a </w:t>
            </w:r>
            <w:r w:rsidRPr="000E0545">
              <w:rPr>
                <w:rFonts w:ascii="Arial Narrow" w:hAnsi="Arial Narrow"/>
                <w:sz w:val="18"/>
                <w:szCs w:val="18"/>
              </w:rPr>
              <w:t xml:space="preserve">impianti </w:t>
            </w:r>
            <w:r>
              <w:rPr>
                <w:rFonts w:ascii="Arial Narrow" w:hAnsi="Arial Narrow"/>
                <w:sz w:val="18"/>
                <w:szCs w:val="18"/>
              </w:rPr>
              <w:t xml:space="preserve">di trattamento intermedio </w:t>
            </w:r>
            <w:r w:rsidRPr="000E0545">
              <w:rPr>
                <w:rFonts w:ascii="Arial Narrow" w:hAnsi="Arial Narrow"/>
                <w:sz w:val="18"/>
                <w:szCs w:val="18"/>
              </w:rPr>
              <w:t xml:space="preserve">(specie TMB) di proprietà di gestori </w:t>
            </w:r>
            <w:r>
              <w:rPr>
                <w:rFonts w:ascii="Arial Narrow" w:hAnsi="Arial Narrow"/>
                <w:sz w:val="18"/>
                <w:szCs w:val="18"/>
              </w:rPr>
              <w:t>SGRU</w:t>
            </w:r>
          </w:p>
        </w:tc>
      </w:tr>
      <w:tr w:rsidR="00793028" w:rsidRPr="000E0545" w14:paraId="7F888408" w14:textId="77777777" w:rsidTr="00041332">
        <w:tc>
          <w:tcPr>
            <w:tcW w:w="299" w:type="dxa"/>
            <w:vAlign w:val="center"/>
          </w:tcPr>
          <w:p w14:paraId="060100C2" w14:textId="333E1E58" w:rsidR="00793028" w:rsidRDefault="00793028" w:rsidP="00CD6872">
            <w:pPr>
              <w:pStyle w:val="Nessunaspaziatura"/>
              <w:rPr>
                <w:rFonts w:ascii="Arial Narrow" w:hAnsi="Arial Narrow"/>
                <w:sz w:val="18"/>
                <w:szCs w:val="18"/>
              </w:rPr>
            </w:pPr>
            <w:r>
              <w:rPr>
                <w:rFonts w:ascii="Arial Narrow" w:hAnsi="Arial Narrow"/>
                <w:sz w:val="18"/>
                <w:szCs w:val="18"/>
              </w:rPr>
              <w:t>2</w:t>
            </w:r>
          </w:p>
        </w:tc>
        <w:tc>
          <w:tcPr>
            <w:tcW w:w="1256" w:type="dxa"/>
            <w:vAlign w:val="center"/>
          </w:tcPr>
          <w:p w14:paraId="6F86BC0F" w14:textId="171CEB06" w:rsidR="00793028" w:rsidRPr="000E0545" w:rsidRDefault="00793028" w:rsidP="00041332">
            <w:pPr>
              <w:pStyle w:val="Nessunaspaziatura"/>
              <w:jc w:val="left"/>
              <w:rPr>
                <w:rFonts w:ascii="Arial Narrow" w:hAnsi="Arial Narrow"/>
                <w:sz w:val="18"/>
                <w:szCs w:val="18"/>
              </w:rPr>
            </w:pPr>
            <w:r>
              <w:rPr>
                <w:rFonts w:ascii="Arial Narrow" w:hAnsi="Arial Narrow"/>
                <w:sz w:val="18"/>
                <w:szCs w:val="18"/>
              </w:rPr>
              <w:t>Integrazione verticale tramite PPP</w:t>
            </w:r>
          </w:p>
        </w:tc>
        <w:tc>
          <w:tcPr>
            <w:tcW w:w="8073" w:type="dxa"/>
          </w:tcPr>
          <w:p w14:paraId="789382EC" w14:textId="77777777" w:rsidR="00793028" w:rsidRDefault="00793028" w:rsidP="00CD6872">
            <w:pPr>
              <w:pStyle w:val="Testotabella"/>
            </w:pPr>
            <w:r>
              <w:t>Gli impianti sono di proprietà di una Spa mista partecipata dal gestore, o di un soggetto terzo individuato con gara</w:t>
            </w:r>
          </w:p>
          <w:p w14:paraId="70698132" w14:textId="77777777" w:rsidR="00793028" w:rsidRDefault="00793028" w:rsidP="00CD6872">
            <w:pPr>
              <w:pStyle w:val="Testotabella"/>
              <w:rPr>
                <w:i/>
                <w:iCs/>
              </w:rPr>
            </w:pPr>
            <w:r>
              <w:t>I gate-fee sono disciplinati da contratti a lungo termine con clausole di tipo</w:t>
            </w:r>
            <w:r w:rsidRPr="00793028">
              <w:rPr>
                <w:i/>
                <w:iCs/>
              </w:rPr>
              <w:t xml:space="preserve"> take-or-pay</w:t>
            </w:r>
          </w:p>
          <w:p w14:paraId="1EE98463" w14:textId="537BCC3B" w:rsidR="00793028" w:rsidRPr="00793028" w:rsidRDefault="00793028" w:rsidP="00CD6872">
            <w:pPr>
              <w:pStyle w:val="Testotabella"/>
            </w:pPr>
            <w:r>
              <w:t>Flussi interessati: RU di matrice organica; RU riciclabili</w:t>
            </w:r>
          </w:p>
        </w:tc>
      </w:tr>
      <w:tr w:rsidR="00041332" w:rsidRPr="000E0545" w14:paraId="21235FE4" w14:textId="77777777" w:rsidTr="00041332">
        <w:tc>
          <w:tcPr>
            <w:tcW w:w="299" w:type="dxa"/>
            <w:vAlign w:val="center"/>
          </w:tcPr>
          <w:p w14:paraId="4E90C4EB" w14:textId="483C4864" w:rsidR="00041332" w:rsidRDefault="00793028" w:rsidP="00CD6872">
            <w:pPr>
              <w:pStyle w:val="Nessunaspaziatura"/>
              <w:rPr>
                <w:rFonts w:ascii="Arial Narrow" w:hAnsi="Arial Narrow"/>
                <w:sz w:val="18"/>
                <w:szCs w:val="18"/>
              </w:rPr>
            </w:pPr>
            <w:r>
              <w:rPr>
                <w:rFonts w:ascii="Arial Narrow" w:hAnsi="Arial Narrow"/>
                <w:sz w:val="18"/>
                <w:szCs w:val="18"/>
              </w:rPr>
              <w:t>3</w:t>
            </w:r>
          </w:p>
        </w:tc>
        <w:tc>
          <w:tcPr>
            <w:tcW w:w="1256" w:type="dxa"/>
            <w:vAlign w:val="center"/>
          </w:tcPr>
          <w:p w14:paraId="3BC93F7B" w14:textId="6C31D3A1" w:rsidR="00041332" w:rsidRPr="000E0545" w:rsidRDefault="00041332" w:rsidP="00041332">
            <w:pPr>
              <w:pStyle w:val="Nessunaspaziatura"/>
              <w:jc w:val="left"/>
              <w:rPr>
                <w:rFonts w:ascii="Arial Narrow" w:hAnsi="Arial Narrow"/>
                <w:sz w:val="18"/>
                <w:szCs w:val="18"/>
              </w:rPr>
            </w:pPr>
            <w:r w:rsidRPr="000E0545">
              <w:rPr>
                <w:rFonts w:ascii="Arial Narrow" w:hAnsi="Arial Narrow"/>
                <w:sz w:val="18"/>
                <w:szCs w:val="18"/>
              </w:rPr>
              <w:t>Integrazione verticale a livello di gruppo</w:t>
            </w:r>
          </w:p>
        </w:tc>
        <w:tc>
          <w:tcPr>
            <w:tcW w:w="8073" w:type="dxa"/>
          </w:tcPr>
          <w:p w14:paraId="329517D1" w14:textId="77777777" w:rsidR="00041332" w:rsidRPr="000E0545" w:rsidRDefault="00041332" w:rsidP="00CD6872">
            <w:pPr>
              <w:pStyle w:val="Nessunaspaziatura"/>
              <w:rPr>
                <w:rFonts w:ascii="Arial Narrow" w:hAnsi="Arial Narrow"/>
                <w:sz w:val="18"/>
                <w:szCs w:val="18"/>
              </w:rPr>
            </w:pPr>
            <w:r w:rsidRPr="000E0545">
              <w:rPr>
                <w:rFonts w:ascii="Arial Narrow" w:hAnsi="Arial Narrow"/>
                <w:sz w:val="18"/>
                <w:szCs w:val="18"/>
              </w:rPr>
              <w:t>Gli impianti sono di proprietà di una società collegata facente parte del medesimo gruppo, che fattura i gate-fee al titolare dell’affidamento</w:t>
            </w:r>
            <w:r>
              <w:rPr>
                <w:rFonts w:ascii="Arial Narrow" w:hAnsi="Arial Narrow"/>
                <w:sz w:val="18"/>
                <w:szCs w:val="18"/>
              </w:rPr>
              <w:t xml:space="preserve"> (particolarmente per le </w:t>
            </w:r>
            <w:r w:rsidRPr="00EC674B">
              <w:rPr>
                <w:rFonts w:ascii="Arial Narrow" w:hAnsi="Arial Narrow"/>
                <w:i/>
                <w:iCs/>
                <w:sz w:val="18"/>
                <w:szCs w:val="18"/>
              </w:rPr>
              <w:t>multiutility</w:t>
            </w:r>
            <w:r>
              <w:rPr>
                <w:rFonts w:ascii="Arial Narrow" w:hAnsi="Arial Narrow"/>
                <w:sz w:val="18"/>
                <w:szCs w:val="18"/>
              </w:rPr>
              <w:t xml:space="preserve"> quotate)</w:t>
            </w:r>
          </w:p>
          <w:p w14:paraId="1CBF875E" w14:textId="35295A96" w:rsidR="00041332" w:rsidRPr="000E0545" w:rsidRDefault="00041332" w:rsidP="00CD6872">
            <w:pPr>
              <w:pStyle w:val="Nessunaspaziatura"/>
              <w:rPr>
                <w:rFonts w:ascii="Arial Narrow" w:hAnsi="Arial Narrow"/>
                <w:sz w:val="18"/>
                <w:szCs w:val="18"/>
              </w:rPr>
            </w:pPr>
            <w:r>
              <w:rPr>
                <w:rFonts w:ascii="Arial Narrow" w:hAnsi="Arial Narrow"/>
                <w:sz w:val="18"/>
                <w:szCs w:val="18"/>
              </w:rPr>
              <w:t xml:space="preserve">Il </w:t>
            </w:r>
            <w:r w:rsidRPr="00F67A82">
              <w:rPr>
                <w:rFonts w:ascii="Arial Narrow" w:hAnsi="Arial Narrow"/>
                <w:i/>
                <w:iCs/>
                <w:sz w:val="18"/>
                <w:szCs w:val="18"/>
              </w:rPr>
              <w:t>gate-fee</w:t>
            </w:r>
            <w:r>
              <w:rPr>
                <w:rFonts w:ascii="Arial Narrow" w:hAnsi="Arial Narrow"/>
                <w:sz w:val="18"/>
                <w:szCs w:val="18"/>
              </w:rPr>
              <w:t xml:space="preserve"> viene negoziato con transazioni infragruppo</w:t>
            </w:r>
          </w:p>
          <w:p w14:paraId="7AB8DDD6" w14:textId="281CE5E7" w:rsidR="00041332" w:rsidRPr="000E746F" w:rsidRDefault="00041332" w:rsidP="00CD6872">
            <w:pPr>
              <w:pStyle w:val="Nessunaspaziatura"/>
              <w:rPr>
                <w:rFonts w:ascii="Arial Narrow" w:hAnsi="Arial Narrow"/>
                <w:sz w:val="18"/>
                <w:szCs w:val="18"/>
              </w:rPr>
            </w:pPr>
            <w:r>
              <w:rPr>
                <w:rFonts w:ascii="Arial Narrow" w:hAnsi="Arial Narrow"/>
                <w:sz w:val="18"/>
                <w:szCs w:val="18"/>
              </w:rPr>
              <w:t>Flussi interessati</w:t>
            </w:r>
            <w:r w:rsidRPr="000E0545">
              <w:rPr>
                <w:rFonts w:ascii="Arial Narrow" w:hAnsi="Arial Narrow"/>
                <w:sz w:val="18"/>
                <w:szCs w:val="18"/>
              </w:rPr>
              <w:t xml:space="preserve">: </w:t>
            </w:r>
            <w:r>
              <w:rPr>
                <w:rFonts w:ascii="Arial Narrow" w:hAnsi="Arial Narrow"/>
                <w:sz w:val="18"/>
                <w:szCs w:val="18"/>
              </w:rPr>
              <w:t xml:space="preserve">frazione organica; </w:t>
            </w:r>
            <w:r w:rsidRPr="000E0545">
              <w:rPr>
                <w:rFonts w:ascii="Arial Narrow" w:hAnsi="Arial Narrow"/>
                <w:sz w:val="18"/>
                <w:szCs w:val="18"/>
              </w:rPr>
              <w:t>impianti W</w:t>
            </w:r>
            <w:r>
              <w:rPr>
                <w:rFonts w:ascii="Arial Narrow" w:hAnsi="Arial Narrow"/>
                <w:sz w:val="18"/>
                <w:szCs w:val="18"/>
              </w:rPr>
              <w:t>t</w:t>
            </w:r>
            <w:r w:rsidRPr="000E0545">
              <w:rPr>
                <w:rFonts w:ascii="Arial Narrow" w:hAnsi="Arial Narrow"/>
                <w:sz w:val="18"/>
                <w:szCs w:val="18"/>
              </w:rPr>
              <w:t xml:space="preserve">E non riconosciuti come </w:t>
            </w:r>
            <w:r w:rsidRPr="000E0545">
              <w:rPr>
                <w:rFonts w:ascii="Arial Narrow" w:hAnsi="Arial Narrow"/>
                <w:i/>
                <w:iCs/>
                <w:sz w:val="18"/>
                <w:szCs w:val="18"/>
              </w:rPr>
              <w:t>essential facilities</w:t>
            </w:r>
            <w:r>
              <w:rPr>
                <w:rFonts w:ascii="Arial Narrow" w:hAnsi="Arial Narrow"/>
                <w:sz w:val="18"/>
                <w:szCs w:val="18"/>
              </w:rPr>
              <w:t>; materiali da avviare al riciclo</w:t>
            </w:r>
          </w:p>
        </w:tc>
      </w:tr>
      <w:tr w:rsidR="00041332" w:rsidRPr="000E0545" w14:paraId="755DD61B" w14:textId="77777777" w:rsidTr="00041332">
        <w:tc>
          <w:tcPr>
            <w:tcW w:w="299" w:type="dxa"/>
            <w:vAlign w:val="center"/>
          </w:tcPr>
          <w:p w14:paraId="2D47FEA8" w14:textId="086A7289" w:rsidR="00041332" w:rsidRDefault="00793028" w:rsidP="00CD6872">
            <w:pPr>
              <w:pStyle w:val="Nessunaspaziatura"/>
              <w:rPr>
                <w:rFonts w:ascii="Arial Narrow" w:hAnsi="Arial Narrow"/>
                <w:sz w:val="18"/>
                <w:szCs w:val="18"/>
              </w:rPr>
            </w:pPr>
            <w:r>
              <w:rPr>
                <w:rFonts w:ascii="Arial Narrow" w:hAnsi="Arial Narrow"/>
                <w:sz w:val="18"/>
                <w:szCs w:val="18"/>
              </w:rPr>
              <w:t>4</w:t>
            </w:r>
          </w:p>
        </w:tc>
        <w:tc>
          <w:tcPr>
            <w:tcW w:w="1256" w:type="dxa"/>
            <w:vAlign w:val="center"/>
          </w:tcPr>
          <w:p w14:paraId="65227F20" w14:textId="350C2083" w:rsidR="00041332" w:rsidRPr="000E0545" w:rsidRDefault="00041332" w:rsidP="00041332">
            <w:pPr>
              <w:pStyle w:val="Nessunaspaziatura"/>
              <w:jc w:val="left"/>
              <w:rPr>
                <w:rFonts w:ascii="Arial Narrow" w:hAnsi="Arial Narrow"/>
                <w:sz w:val="18"/>
                <w:szCs w:val="18"/>
              </w:rPr>
            </w:pPr>
            <w:r w:rsidRPr="000E0545">
              <w:rPr>
                <w:rFonts w:ascii="Arial Narrow" w:hAnsi="Arial Narrow"/>
                <w:sz w:val="18"/>
                <w:szCs w:val="18"/>
              </w:rPr>
              <w:t>Essential facility</w:t>
            </w:r>
          </w:p>
        </w:tc>
        <w:tc>
          <w:tcPr>
            <w:tcW w:w="8073" w:type="dxa"/>
          </w:tcPr>
          <w:p w14:paraId="7773CB88" w14:textId="1BBE14BF" w:rsidR="00041332" w:rsidRDefault="00041332" w:rsidP="00CD6872">
            <w:pPr>
              <w:pStyle w:val="Nessunaspaziatura"/>
              <w:rPr>
                <w:rFonts w:ascii="Arial Narrow" w:hAnsi="Arial Narrow"/>
                <w:sz w:val="18"/>
                <w:szCs w:val="18"/>
              </w:rPr>
            </w:pPr>
            <w:r w:rsidRPr="000E0545">
              <w:rPr>
                <w:rFonts w:ascii="Arial Narrow" w:hAnsi="Arial Narrow"/>
                <w:sz w:val="18"/>
                <w:szCs w:val="18"/>
              </w:rPr>
              <w:t xml:space="preserve">L’impianto è individuato nel piano regionale. </w:t>
            </w:r>
            <w:r>
              <w:rPr>
                <w:rFonts w:ascii="Arial Narrow" w:hAnsi="Arial Narrow"/>
                <w:sz w:val="18"/>
                <w:szCs w:val="18"/>
              </w:rPr>
              <w:t>A</w:t>
            </w:r>
            <w:r w:rsidRPr="000E0545">
              <w:rPr>
                <w:rFonts w:ascii="Arial Narrow" w:hAnsi="Arial Narrow"/>
                <w:sz w:val="18"/>
                <w:szCs w:val="18"/>
              </w:rPr>
              <w:t>d esso si deve</w:t>
            </w:r>
            <w:r>
              <w:rPr>
                <w:rFonts w:ascii="Arial Narrow" w:hAnsi="Arial Narrow"/>
                <w:sz w:val="18"/>
                <w:szCs w:val="18"/>
              </w:rPr>
              <w:t>/</w:t>
            </w:r>
            <w:r w:rsidRPr="000E0545">
              <w:rPr>
                <w:rFonts w:ascii="Arial Narrow" w:hAnsi="Arial Narrow"/>
                <w:sz w:val="18"/>
                <w:szCs w:val="18"/>
              </w:rPr>
              <w:t xml:space="preserve">può rivolgere il gestore del servizio titolare dell’affidamento, </w:t>
            </w:r>
          </w:p>
          <w:p w14:paraId="662EAF49" w14:textId="31379B24" w:rsidR="004C5087" w:rsidRPr="000E0545" w:rsidRDefault="004C5087" w:rsidP="00CD6872">
            <w:pPr>
              <w:pStyle w:val="Nessunaspaziatura"/>
              <w:rPr>
                <w:rFonts w:ascii="Arial Narrow" w:hAnsi="Arial Narrow"/>
                <w:sz w:val="18"/>
                <w:szCs w:val="18"/>
              </w:rPr>
            </w:pPr>
            <w:r>
              <w:rPr>
                <w:rFonts w:ascii="Arial Narrow" w:hAnsi="Arial Narrow"/>
                <w:sz w:val="18"/>
                <w:szCs w:val="18"/>
              </w:rPr>
              <w:t xml:space="preserve">I </w:t>
            </w:r>
            <w:r w:rsidRPr="00F67A82">
              <w:rPr>
                <w:rFonts w:ascii="Arial Narrow" w:hAnsi="Arial Narrow"/>
                <w:i/>
                <w:iCs/>
                <w:sz w:val="18"/>
                <w:szCs w:val="18"/>
              </w:rPr>
              <w:t>gate-fee</w:t>
            </w:r>
            <w:r>
              <w:rPr>
                <w:rFonts w:ascii="Arial Narrow" w:hAnsi="Arial Narrow"/>
                <w:sz w:val="18"/>
                <w:szCs w:val="18"/>
              </w:rPr>
              <w:t xml:space="preserve"> sono fissati dal regolatore, quanto meno nell’importo massimo.</w:t>
            </w:r>
          </w:p>
          <w:p w14:paraId="27CCC2E7" w14:textId="6B80209A" w:rsidR="00041332" w:rsidRPr="000E0545" w:rsidRDefault="00041332" w:rsidP="00CD6872">
            <w:pPr>
              <w:pStyle w:val="Nessunaspaziatura"/>
              <w:rPr>
                <w:rFonts w:ascii="Arial Narrow" w:hAnsi="Arial Narrow"/>
                <w:sz w:val="18"/>
                <w:szCs w:val="18"/>
              </w:rPr>
            </w:pPr>
            <w:r>
              <w:rPr>
                <w:rFonts w:ascii="Arial Narrow" w:hAnsi="Arial Narrow"/>
                <w:sz w:val="18"/>
                <w:szCs w:val="18"/>
              </w:rPr>
              <w:t>Flussi interessati</w:t>
            </w:r>
            <w:r w:rsidRPr="000E0545">
              <w:rPr>
                <w:rFonts w:ascii="Arial Narrow" w:hAnsi="Arial Narrow"/>
                <w:sz w:val="18"/>
                <w:szCs w:val="18"/>
              </w:rPr>
              <w:t>: impianti identificati dalle Regioni come “impianti di chiusura del ciclo minimi”</w:t>
            </w:r>
            <w:r>
              <w:rPr>
                <w:rFonts w:ascii="Arial Narrow" w:hAnsi="Arial Narrow"/>
                <w:sz w:val="18"/>
                <w:szCs w:val="18"/>
              </w:rPr>
              <w:t xml:space="preserve"> (specie </w:t>
            </w:r>
            <w:r w:rsidRPr="000E0545">
              <w:rPr>
                <w:rFonts w:ascii="Arial Narrow" w:hAnsi="Arial Narrow"/>
                <w:sz w:val="18"/>
                <w:szCs w:val="18"/>
              </w:rPr>
              <w:t>WtE e discariche</w:t>
            </w:r>
            <w:r>
              <w:rPr>
                <w:rFonts w:ascii="Arial Narrow" w:hAnsi="Arial Narrow"/>
                <w:sz w:val="18"/>
                <w:szCs w:val="18"/>
              </w:rPr>
              <w:t>)</w:t>
            </w:r>
          </w:p>
        </w:tc>
      </w:tr>
      <w:tr w:rsidR="00041332" w:rsidRPr="000E0545" w14:paraId="3EA11D55" w14:textId="77777777" w:rsidTr="00041332">
        <w:tc>
          <w:tcPr>
            <w:tcW w:w="299" w:type="dxa"/>
            <w:vAlign w:val="center"/>
          </w:tcPr>
          <w:p w14:paraId="5F144454" w14:textId="2520EE21" w:rsidR="00041332" w:rsidRDefault="00793028" w:rsidP="00CD6872">
            <w:pPr>
              <w:pStyle w:val="Nessunaspaziatura"/>
              <w:rPr>
                <w:rFonts w:ascii="Arial Narrow" w:hAnsi="Arial Narrow"/>
                <w:sz w:val="18"/>
                <w:szCs w:val="18"/>
              </w:rPr>
            </w:pPr>
            <w:r>
              <w:rPr>
                <w:rFonts w:ascii="Arial Narrow" w:hAnsi="Arial Narrow"/>
                <w:sz w:val="18"/>
                <w:szCs w:val="18"/>
              </w:rPr>
              <w:t>5</w:t>
            </w:r>
          </w:p>
        </w:tc>
        <w:tc>
          <w:tcPr>
            <w:tcW w:w="1256" w:type="dxa"/>
            <w:vAlign w:val="center"/>
          </w:tcPr>
          <w:p w14:paraId="2BEBC0DF" w14:textId="530E1A50" w:rsidR="00041332" w:rsidRPr="000E0545" w:rsidRDefault="00041332" w:rsidP="00041332">
            <w:pPr>
              <w:pStyle w:val="Nessunaspaziatura"/>
              <w:jc w:val="left"/>
              <w:rPr>
                <w:rFonts w:ascii="Arial Narrow" w:hAnsi="Arial Narrow"/>
                <w:sz w:val="18"/>
                <w:szCs w:val="18"/>
              </w:rPr>
            </w:pPr>
            <w:r w:rsidRPr="000E0545">
              <w:rPr>
                <w:rFonts w:ascii="Arial Narrow" w:hAnsi="Arial Narrow"/>
                <w:sz w:val="18"/>
                <w:szCs w:val="18"/>
              </w:rPr>
              <w:t>Gara competitiva</w:t>
            </w:r>
          </w:p>
        </w:tc>
        <w:tc>
          <w:tcPr>
            <w:tcW w:w="8073" w:type="dxa"/>
          </w:tcPr>
          <w:p w14:paraId="0E52F69E" w14:textId="7BEA96A6" w:rsidR="00041332" w:rsidRPr="000E0545" w:rsidRDefault="00041332" w:rsidP="00CD6872">
            <w:pPr>
              <w:pStyle w:val="Nessunaspaziatura"/>
              <w:rPr>
                <w:rFonts w:ascii="Arial Narrow" w:hAnsi="Arial Narrow"/>
                <w:sz w:val="18"/>
                <w:szCs w:val="18"/>
              </w:rPr>
            </w:pPr>
            <w:r w:rsidRPr="000E0545">
              <w:rPr>
                <w:rFonts w:ascii="Arial Narrow" w:hAnsi="Arial Narrow"/>
                <w:sz w:val="18"/>
                <w:szCs w:val="18"/>
              </w:rPr>
              <w:t>L’E</w:t>
            </w:r>
            <w:r w:rsidR="00F67A82">
              <w:rPr>
                <w:rFonts w:ascii="Arial Narrow" w:hAnsi="Arial Narrow"/>
                <w:sz w:val="18"/>
                <w:szCs w:val="18"/>
              </w:rPr>
              <w:t>GA</w:t>
            </w:r>
            <w:r w:rsidRPr="000E0545">
              <w:rPr>
                <w:rFonts w:ascii="Arial Narrow" w:hAnsi="Arial Narrow"/>
                <w:sz w:val="18"/>
                <w:szCs w:val="18"/>
              </w:rPr>
              <w:t xml:space="preserve"> (o lo stesso gestore) identifica gli impianti di destinazione attraverso una gara</w:t>
            </w:r>
          </w:p>
          <w:p w14:paraId="1FCBC971" w14:textId="0C9516F9" w:rsidR="00041332" w:rsidRPr="000E0545" w:rsidRDefault="00041332" w:rsidP="00CD6872">
            <w:pPr>
              <w:pStyle w:val="Nessunaspaziatura"/>
              <w:rPr>
                <w:rFonts w:ascii="Arial Narrow" w:hAnsi="Arial Narrow"/>
                <w:sz w:val="18"/>
                <w:szCs w:val="18"/>
              </w:rPr>
            </w:pPr>
            <w:r w:rsidRPr="000E0545">
              <w:rPr>
                <w:rFonts w:ascii="Arial Narrow" w:hAnsi="Arial Narrow"/>
                <w:sz w:val="18"/>
                <w:szCs w:val="18"/>
              </w:rPr>
              <w:t xml:space="preserve">I </w:t>
            </w:r>
            <w:r w:rsidRPr="00F67A82">
              <w:rPr>
                <w:rFonts w:ascii="Arial Narrow" w:hAnsi="Arial Narrow"/>
                <w:i/>
                <w:iCs/>
                <w:sz w:val="18"/>
                <w:szCs w:val="18"/>
              </w:rPr>
              <w:t>gate-fee</w:t>
            </w:r>
            <w:r w:rsidRPr="000E0545">
              <w:rPr>
                <w:rFonts w:ascii="Arial Narrow" w:hAnsi="Arial Narrow"/>
                <w:sz w:val="18"/>
                <w:szCs w:val="18"/>
              </w:rPr>
              <w:t xml:space="preserve"> si originano nell’offerta economica</w:t>
            </w:r>
          </w:p>
          <w:p w14:paraId="67FBB6CF" w14:textId="063AAB16" w:rsidR="00041332" w:rsidRPr="000E0545" w:rsidRDefault="00041332" w:rsidP="00CD6872">
            <w:pPr>
              <w:pStyle w:val="Nessunaspaziatura"/>
              <w:rPr>
                <w:rFonts w:ascii="Arial Narrow" w:hAnsi="Arial Narrow"/>
                <w:sz w:val="18"/>
                <w:szCs w:val="18"/>
              </w:rPr>
            </w:pPr>
            <w:r>
              <w:rPr>
                <w:rFonts w:ascii="Arial Narrow" w:hAnsi="Arial Narrow"/>
                <w:sz w:val="18"/>
                <w:szCs w:val="18"/>
              </w:rPr>
              <w:t>Flussi interessati</w:t>
            </w:r>
            <w:r w:rsidRPr="000E0545">
              <w:rPr>
                <w:rFonts w:ascii="Arial Narrow" w:hAnsi="Arial Narrow"/>
                <w:sz w:val="18"/>
                <w:szCs w:val="18"/>
              </w:rPr>
              <w:t xml:space="preserve">: </w:t>
            </w:r>
            <w:r>
              <w:rPr>
                <w:rFonts w:ascii="Arial Narrow" w:hAnsi="Arial Narrow"/>
                <w:sz w:val="18"/>
                <w:szCs w:val="18"/>
              </w:rPr>
              <w:t xml:space="preserve">frazione organica; </w:t>
            </w:r>
            <w:r w:rsidRPr="000E0545">
              <w:rPr>
                <w:rFonts w:ascii="Arial Narrow" w:hAnsi="Arial Narrow"/>
                <w:sz w:val="18"/>
                <w:szCs w:val="18"/>
              </w:rPr>
              <w:t xml:space="preserve">materiali </w:t>
            </w:r>
            <w:r>
              <w:rPr>
                <w:rFonts w:ascii="Arial Narrow" w:hAnsi="Arial Narrow"/>
                <w:sz w:val="18"/>
                <w:szCs w:val="18"/>
              </w:rPr>
              <w:t xml:space="preserve">in uscita </w:t>
            </w:r>
            <w:r w:rsidRPr="000E0545">
              <w:rPr>
                <w:rFonts w:ascii="Arial Narrow" w:hAnsi="Arial Narrow"/>
                <w:sz w:val="18"/>
                <w:szCs w:val="18"/>
              </w:rPr>
              <w:t>da TMB</w:t>
            </w:r>
            <w:r>
              <w:rPr>
                <w:rFonts w:ascii="Arial Narrow" w:hAnsi="Arial Narrow"/>
                <w:sz w:val="18"/>
                <w:szCs w:val="18"/>
              </w:rPr>
              <w:t xml:space="preserve"> se non già individuati nel piano regionale</w:t>
            </w:r>
            <w:r w:rsidRPr="000E0545">
              <w:rPr>
                <w:rFonts w:ascii="Arial Narrow" w:hAnsi="Arial Narrow"/>
                <w:sz w:val="18"/>
                <w:szCs w:val="18"/>
              </w:rPr>
              <w:t xml:space="preserve">; gestioni commissariali; </w:t>
            </w:r>
            <w:r>
              <w:rPr>
                <w:rFonts w:ascii="Arial Narrow" w:hAnsi="Arial Narrow"/>
                <w:sz w:val="18"/>
                <w:szCs w:val="18"/>
              </w:rPr>
              <w:t>trattamento</w:t>
            </w:r>
            <w:r w:rsidRPr="000E0545">
              <w:rPr>
                <w:rFonts w:ascii="Arial Narrow" w:hAnsi="Arial Narrow"/>
                <w:sz w:val="18"/>
                <w:szCs w:val="18"/>
              </w:rPr>
              <w:t xml:space="preserve"> dei flussi </w:t>
            </w:r>
            <w:r>
              <w:rPr>
                <w:rFonts w:ascii="Arial Narrow" w:hAnsi="Arial Narrow"/>
                <w:sz w:val="18"/>
                <w:szCs w:val="18"/>
              </w:rPr>
              <w:t>gestiti</w:t>
            </w:r>
            <w:r w:rsidRPr="000E0545">
              <w:rPr>
                <w:rFonts w:ascii="Arial Narrow" w:hAnsi="Arial Narrow"/>
                <w:sz w:val="18"/>
                <w:szCs w:val="18"/>
              </w:rPr>
              <w:t xml:space="preserve"> d</w:t>
            </w:r>
            <w:r>
              <w:rPr>
                <w:rFonts w:ascii="Arial Narrow" w:hAnsi="Arial Narrow"/>
                <w:sz w:val="18"/>
                <w:szCs w:val="18"/>
              </w:rPr>
              <w:t>a</w:t>
            </w:r>
            <w:r w:rsidRPr="000E0545">
              <w:rPr>
                <w:rFonts w:ascii="Arial Narrow" w:hAnsi="Arial Narrow"/>
                <w:sz w:val="18"/>
                <w:szCs w:val="18"/>
              </w:rPr>
              <w:t>i consorzi di filiera</w:t>
            </w:r>
            <w:r>
              <w:rPr>
                <w:rFonts w:ascii="Arial Narrow" w:hAnsi="Arial Narrow"/>
                <w:sz w:val="18"/>
                <w:szCs w:val="18"/>
              </w:rPr>
              <w:t>; frazione organica</w:t>
            </w:r>
            <w:r w:rsidR="004C5087">
              <w:rPr>
                <w:rFonts w:ascii="Arial Narrow" w:hAnsi="Arial Narrow"/>
                <w:sz w:val="18"/>
                <w:szCs w:val="18"/>
              </w:rPr>
              <w:t>; flussi destinati a WtE</w:t>
            </w:r>
          </w:p>
        </w:tc>
      </w:tr>
      <w:tr w:rsidR="00041332" w:rsidRPr="000E0545" w14:paraId="7D304AF0" w14:textId="77777777" w:rsidTr="00041332">
        <w:tc>
          <w:tcPr>
            <w:tcW w:w="299" w:type="dxa"/>
            <w:vAlign w:val="center"/>
          </w:tcPr>
          <w:p w14:paraId="517B6306" w14:textId="1A53D659" w:rsidR="00041332" w:rsidRDefault="00793028" w:rsidP="00CD6872">
            <w:pPr>
              <w:pStyle w:val="Nessunaspaziatura"/>
              <w:rPr>
                <w:rFonts w:ascii="Arial Narrow" w:hAnsi="Arial Narrow"/>
                <w:sz w:val="18"/>
                <w:szCs w:val="18"/>
              </w:rPr>
            </w:pPr>
            <w:r>
              <w:rPr>
                <w:rFonts w:ascii="Arial Narrow" w:hAnsi="Arial Narrow"/>
                <w:sz w:val="18"/>
                <w:szCs w:val="18"/>
              </w:rPr>
              <w:t>6</w:t>
            </w:r>
          </w:p>
        </w:tc>
        <w:tc>
          <w:tcPr>
            <w:tcW w:w="1256" w:type="dxa"/>
            <w:vAlign w:val="center"/>
          </w:tcPr>
          <w:p w14:paraId="45EF2291" w14:textId="3F8AF8E6" w:rsidR="00041332" w:rsidRPr="000E0545" w:rsidRDefault="00041332" w:rsidP="00041332">
            <w:pPr>
              <w:pStyle w:val="Nessunaspaziatura"/>
              <w:jc w:val="left"/>
              <w:rPr>
                <w:rFonts w:ascii="Arial Narrow" w:hAnsi="Arial Narrow"/>
                <w:sz w:val="18"/>
                <w:szCs w:val="18"/>
              </w:rPr>
            </w:pPr>
            <w:r w:rsidRPr="000E0545">
              <w:rPr>
                <w:rFonts w:ascii="Arial Narrow" w:hAnsi="Arial Narrow"/>
                <w:sz w:val="18"/>
                <w:szCs w:val="18"/>
              </w:rPr>
              <w:t>Prezzo di mercato</w:t>
            </w:r>
          </w:p>
        </w:tc>
        <w:tc>
          <w:tcPr>
            <w:tcW w:w="8073" w:type="dxa"/>
          </w:tcPr>
          <w:p w14:paraId="020DE29B" w14:textId="77777777" w:rsidR="00041332" w:rsidRPr="000E0545" w:rsidRDefault="00041332" w:rsidP="00CD6872">
            <w:pPr>
              <w:pStyle w:val="Nessunaspaziatura"/>
              <w:rPr>
                <w:rFonts w:ascii="Arial Narrow" w:hAnsi="Arial Narrow"/>
                <w:sz w:val="18"/>
                <w:szCs w:val="18"/>
              </w:rPr>
            </w:pPr>
            <w:r w:rsidRPr="000E0545">
              <w:rPr>
                <w:rFonts w:ascii="Arial Narrow" w:hAnsi="Arial Narrow"/>
                <w:sz w:val="18"/>
                <w:szCs w:val="18"/>
              </w:rPr>
              <w:t>Il gestore si rivolge al mercato (transazioni spot)</w:t>
            </w:r>
          </w:p>
          <w:p w14:paraId="69BB0430" w14:textId="510D4789" w:rsidR="00041332" w:rsidRPr="000E0545" w:rsidRDefault="004C5087" w:rsidP="00CD6872">
            <w:pPr>
              <w:pStyle w:val="Nessunaspaziatura"/>
              <w:rPr>
                <w:rFonts w:ascii="Arial Narrow" w:hAnsi="Arial Narrow"/>
                <w:sz w:val="18"/>
                <w:szCs w:val="18"/>
              </w:rPr>
            </w:pPr>
            <w:r>
              <w:rPr>
                <w:rFonts w:ascii="Arial Narrow" w:hAnsi="Arial Narrow"/>
                <w:sz w:val="18"/>
                <w:szCs w:val="18"/>
              </w:rPr>
              <w:t xml:space="preserve">I </w:t>
            </w:r>
            <w:r w:rsidRPr="00F67A82">
              <w:rPr>
                <w:rFonts w:ascii="Arial Narrow" w:hAnsi="Arial Narrow"/>
                <w:i/>
                <w:iCs/>
                <w:sz w:val="18"/>
                <w:szCs w:val="18"/>
              </w:rPr>
              <w:t>g</w:t>
            </w:r>
            <w:r w:rsidR="00041332" w:rsidRPr="00F67A82">
              <w:rPr>
                <w:rFonts w:ascii="Arial Narrow" w:hAnsi="Arial Narrow"/>
                <w:i/>
                <w:iCs/>
                <w:sz w:val="18"/>
                <w:szCs w:val="18"/>
              </w:rPr>
              <w:t>ate-fee</w:t>
            </w:r>
            <w:r w:rsidR="00041332" w:rsidRPr="000E0545">
              <w:rPr>
                <w:rFonts w:ascii="Arial Narrow" w:hAnsi="Arial Narrow"/>
                <w:sz w:val="18"/>
                <w:szCs w:val="18"/>
              </w:rPr>
              <w:t xml:space="preserve"> </w:t>
            </w:r>
            <w:r>
              <w:rPr>
                <w:rFonts w:ascii="Arial Narrow" w:hAnsi="Arial Narrow"/>
                <w:sz w:val="18"/>
                <w:szCs w:val="18"/>
              </w:rPr>
              <w:t xml:space="preserve">sono </w:t>
            </w:r>
            <w:r w:rsidR="00041332" w:rsidRPr="000E0545">
              <w:rPr>
                <w:rFonts w:ascii="Arial Narrow" w:hAnsi="Arial Narrow"/>
                <w:sz w:val="18"/>
                <w:szCs w:val="18"/>
              </w:rPr>
              <w:t>determinati da</w:t>
            </w:r>
            <w:r w:rsidR="00041332">
              <w:rPr>
                <w:rFonts w:ascii="Arial Narrow" w:hAnsi="Arial Narrow"/>
                <w:sz w:val="18"/>
                <w:szCs w:val="18"/>
              </w:rPr>
              <w:t>l</w:t>
            </w:r>
            <w:r w:rsidR="00041332" w:rsidRPr="000E0545">
              <w:rPr>
                <w:rFonts w:ascii="Arial Narrow" w:hAnsi="Arial Narrow"/>
                <w:sz w:val="18"/>
                <w:szCs w:val="18"/>
              </w:rPr>
              <w:t xml:space="preserve"> mercato</w:t>
            </w:r>
          </w:p>
          <w:p w14:paraId="469C81E7" w14:textId="5E17C24C" w:rsidR="00041332" w:rsidRPr="000E0545" w:rsidRDefault="00041332" w:rsidP="00CD6872">
            <w:pPr>
              <w:pStyle w:val="Nessunaspaziatura"/>
              <w:rPr>
                <w:rFonts w:ascii="Arial Narrow" w:hAnsi="Arial Narrow"/>
                <w:sz w:val="18"/>
                <w:szCs w:val="18"/>
              </w:rPr>
            </w:pPr>
            <w:r>
              <w:rPr>
                <w:rFonts w:ascii="Arial Narrow" w:hAnsi="Arial Narrow"/>
                <w:sz w:val="18"/>
                <w:szCs w:val="18"/>
              </w:rPr>
              <w:t>Flussi interessati</w:t>
            </w:r>
            <w:r w:rsidRPr="000E0545">
              <w:rPr>
                <w:rFonts w:ascii="Arial Narrow" w:hAnsi="Arial Narrow"/>
                <w:sz w:val="18"/>
                <w:szCs w:val="18"/>
              </w:rPr>
              <w:t>: materiali destinati al riciclo; residuo secco TMB; CSS; compost</w:t>
            </w:r>
            <w:r>
              <w:rPr>
                <w:rFonts w:ascii="Arial Narrow" w:hAnsi="Arial Narrow"/>
                <w:sz w:val="18"/>
                <w:szCs w:val="18"/>
              </w:rPr>
              <w:t>; frazione organica; flussi esportati</w:t>
            </w:r>
          </w:p>
        </w:tc>
      </w:tr>
    </w:tbl>
    <w:p w14:paraId="40B7D917" w14:textId="12A8AC48" w:rsidR="0033265C" w:rsidRPr="00E40007" w:rsidRDefault="00F67A82" w:rsidP="0033265C">
      <w:pPr>
        <w:pStyle w:val="Finefiguraetabella"/>
        <w:rPr>
          <w:lang w:val="it-IT"/>
        </w:rPr>
      </w:pPr>
      <w:r>
        <w:rPr>
          <w:lang w:val="it-IT"/>
        </w:rPr>
        <w:t>Fonte: nostra elaborazione</w:t>
      </w:r>
    </w:p>
    <w:p w14:paraId="1AA2B55D" w14:textId="122A4DA1" w:rsidR="000E746F" w:rsidRDefault="000E746F" w:rsidP="000E746F">
      <w:pPr>
        <w:pStyle w:val="Titolofigureetabelle"/>
      </w:pPr>
      <w:r>
        <w:lastRenderedPageBreak/>
        <w:t xml:space="preserve">Figura </w:t>
      </w:r>
      <w:r w:rsidR="0090642F">
        <w:t>2</w:t>
      </w:r>
      <w:r>
        <w:t xml:space="preserve"> – Dettaglio del flusso di rifiuti destinati al perimetro M2 </w:t>
      </w:r>
      <w:r w:rsidR="0094602A">
        <w:t xml:space="preserve">in Italia nel 2023 </w:t>
      </w:r>
      <w:r>
        <w:t>(milioni di t)</w:t>
      </w:r>
    </w:p>
    <w:p w14:paraId="6F1461B6" w14:textId="77777777" w:rsidR="000E746F" w:rsidRDefault="000E746F" w:rsidP="000E746F">
      <w:pPr>
        <w:pStyle w:val="Testotabella"/>
        <w:jc w:val="center"/>
      </w:pPr>
      <w:r>
        <w:rPr>
          <w:noProof/>
        </w:rPr>
        <w:drawing>
          <wp:inline distT="0" distB="0" distL="0" distR="0" wp14:anchorId="127FAC33" wp14:editId="46FDE217">
            <wp:extent cx="4486275" cy="3364706"/>
            <wp:effectExtent l="0" t="0" r="0" b="7620"/>
            <wp:docPr id="3" name="Elemento grafic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96DAC541-7B7A-43D3-8B79-37D633B846F1}">
                          <asvg:svgBlip xmlns:asvg="http://schemas.microsoft.com/office/drawing/2016/SVG/main" r:embed="rId11"/>
                        </a:ext>
                      </a:extLst>
                    </a:blip>
                    <a:stretch>
                      <a:fillRect/>
                    </a:stretch>
                  </pic:blipFill>
                  <pic:spPr>
                    <a:xfrm>
                      <a:off x="0" y="0"/>
                      <a:ext cx="4489926" cy="3367444"/>
                    </a:xfrm>
                    <a:prstGeom prst="rect">
                      <a:avLst/>
                    </a:prstGeom>
                  </pic:spPr>
                </pic:pic>
              </a:graphicData>
            </a:graphic>
          </wp:inline>
        </w:drawing>
      </w:r>
    </w:p>
    <w:p w14:paraId="551B7D4C" w14:textId="7BF57468" w:rsidR="000E746F" w:rsidRPr="007B5DA6" w:rsidRDefault="000E746F" w:rsidP="00AF61A6">
      <w:pPr>
        <w:pStyle w:val="Finefiguraetabella"/>
        <w:rPr>
          <w:lang w:val="it-IT"/>
        </w:rPr>
      </w:pPr>
      <w:r w:rsidRPr="007B5DA6">
        <w:rPr>
          <w:lang w:val="it-IT"/>
        </w:rPr>
        <w:t>Fonte: nostra elaborazione su dati ISPRA</w:t>
      </w:r>
    </w:p>
    <w:p w14:paraId="5218F090" w14:textId="77777777" w:rsidR="00793028" w:rsidRDefault="00793028" w:rsidP="00793028">
      <w:r>
        <w:t xml:space="preserve">Sulla falsariga dei percorsi seguiti nei paesi nordeuropei, Il governo nazionale ha favorito un graduale allentamento dei vincoli di prossimità, sebbene con gradi di apertura diversi per le varie tecnologie e un percorso normativo poco lineare. Il Dlgs 116/2020 ha introdotto il “Programma Nazionale per la Gestione dei Rifiuti” (PNGR, art. 198 bis del TU ambientale), che assegna allo Stato il compito di indirizzare l’attività di pianificazione regionale. Il piano approvato nel 2022 prevede la possibilità di identificare macro-aree entro le quali far valere il principio di autosufficienza, mantenendo la cogenza del perimetro regionale solo per i flussi di rifiuto indifferenziato e per lo smaltimento in discarica. Le macro-aree vengono individuate previo accordo tra le regioni interessate. </w:t>
      </w:r>
    </w:p>
    <w:p w14:paraId="3DB4DAFC" w14:textId="6BDE2F7A" w:rsidR="00F06026" w:rsidRDefault="0090642F" w:rsidP="0090642F">
      <w:r>
        <w:t xml:space="preserve">Ne risulta un quadro abbastanza confuso, nel quale coesistono diversi regimi: integrazione verticale, </w:t>
      </w:r>
      <w:r w:rsidR="00793028">
        <w:t xml:space="preserve">partenariati, </w:t>
      </w:r>
      <w:r>
        <w:t>mercato regolato, mercato spot, gare competitive (tab. 3). Sarebbe interessante, ma non è purtroppo possibile con i dati a disposizione, ricostruire puntualmente in termini quantitativi</w:t>
      </w:r>
      <w:r w:rsidR="00793028">
        <w:t xml:space="preserve"> i flussi indirizzati a ciascun canale</w:t>
      </w:r>
      <w:r>
        <w:t xml:space="preserve">. Con qualche margine di errore possiamo tuttavia provare a farlo per via deduttiva, osservando i flussi diretti alle diverse fasi di trattamento, che sono invece registrati da ISPRA. </w:t>
      </w:r>
    </w:p>
    <w:p w14:paraId="0A05738D" w14:textId="01949F6D" w:rsidR="0090642F" w:rsidRDefault="0090642F" w:rsidP="0090642F">
      <w:r>
        <w:t>Nella fig. 2 osserviamo che il 30% circa del rifiuto indifferenziato viene inviato direttamente alla termovalorizzazione (27%) o in discarica (3%, soluzione destinata a scomparire</w:t>
      </w:r>
      <w:r w:rsidR="00BD01AB">
        <w:t xml:space="preserve"> perché espressamente vietata dalle norme UE</w:t>
      </w:r>
      <w:r>
        <w:t>). Questi flussi sono sempre indirizzati dal piano, talvolta fuori regione e persino all’estero, specie nei casi di commissariamento (regime 3).</w:t>
      </w:r>
    </w:p>
    <w:p w14:paraId="0E2EAAFD" w14:textId="1AEC981F" w:rsidR="0090642F" w:rsidRDefault="0090642F" w:rsidP="0090642F">
      <w:r>
        <w:t>Il restante 70% si dirige a impianti TMB; questi sono quasi sempre di proprietà dei gestori della raccolta (regime 1), o condivisi con altri operatori (regime 2); la proprietà è quasi ovunque pubblica</w:t>
      </w:r>
      <w:r w:rsidR="00F06026">
        <w:t>, ma si danno anche casi di impianti di operatori privati</w:t>
      </w:r>
      <w:r>
        <w:t>.</w:t>
      </w:r>
    </w:p>
    <w:p w14:paraId="4C45309E" w14:textId="04CD2606" w:rsidR="004C5087" w:rsidRDefault="004C5087" w:rsidP="004C5087">
      <w:r>
        <w:t xml:space="preserve">Il materiale in uscita dal TMB, a sua volta, trova destinazione per la maggior parte in discarica o in impianti di incenerimento; in genere i piani regionali ne prevedono la destinazione (regime </w:t>
      </w:r>
      <w:r w:rsidR="00793028">
        <w:t>4</w:t>
      </w:r>
      <w:r>
        <w:t xml:space="preserve">); quando non è così, si rientra nel regime </w:t>
      </w:r>
      <w:r w:rsidR="00793028">
        <w:t>3</w:t>
      </w:r>
      <w:r>
        <w:t xml:space="preserve"> o </w:t>
      </w:r>
      <w:r w:rsidR="00793028">
        <w:t>5</w:t>
      </w:r>
      <w:r>
        <w:t xml:space="preserve">, a seconda se l’impianto appartiene o meno al medesimo gruppo. I materiali </w:t>
      </w:r>
      <w:r>
        <w:lastRenderedPageBreak/>
        <w:t>recuperati e il comb</w:t>
      </w:r>
      <w:r w:rsidR="00F06026">
        <w:t>u</w:t>
      </w:r>
      <w:r>
        <w:t xml:space="preserve">stibile secondario invece tendono invece ad essere collocati sul mercato spot secondo convenienza del momento (regime </w:t>
      </w:r>
      <w:r w:rsidR="007D0737">
        <w:t>6</w:t>
      </w:r>
      <w:r>
        <w:t>).</w:t>
      </w:r>
    </w:p>
    <w:p w14:paraId="15670986" w14:textId="13E4C65B" w:rsidR="004C5087" w:rsidRDefault="004C5087" w:rsidP="004C5087">
      <w:r>
        <w:t xml:space="preserve">Il rifiuto organico segue un percorso parallelo e autonomo. Quando viene raccolto in modo differenziato, dopo una cernita esso viene destinato agli impianti di trattamento. Qui si sta assistendo a una trasformazione piuttosto significativa: i tradizionali impianti di compostaggio </w:t>
      </w:r>
      <w:r w:rsidR="0094602A">
        <w:t xml:space="preserve">aerobico </w:t>
      </w:r>
      <w:r>
        <w:t>tendono infatti ad essere sostituiti da quelli, più performanti, di trattamento integrato aerobico-</w:t>
      </w:r>
      <w:proofErr w:type="spellStart"/>
      <w:r>
        <w:t>anarobico</w:t>
      </w:r>
      <w:proofErr w:type="spellEnd"/>
      <w:r>
        <w:t xml:space="preserve">, con </w:t>
      </w:r>
      <w:r w:rsidR="0094602A">
        <w:t>recupero</w:t>
      </w:r>
      <w:r>
        <w:t xml:space="preserve"> d</w:t>
      </w:r>
      <w:r w:rsidR="0094602A">
        <w:t>el</w:t>
      </w:r>
      <w:r>
        <w:t xml:space="preserve"> biogas. Se per i primi si ricorreva in genere al mercato locale, incidendo i costi di trasporto in modo significativo, per i secondi sta emergendo un mercato di scala territoriale maggiore; qui si applica in modo generalizzato il modello della gara (regime </w:t>
      </w:r>
      <w:r w:rsidR="007D0737">
        <w:t>5</w:t>
      </w:r>
      <w:r>
        <w:t xml:space="preserve">), quando gli impianti non sono gestiti in una logica di gruppo (regime </w:t>
      </w:r>
      <w:r w:rsidR="007D0737">
        <w:t>4</w:t>
      </w:r>
      <w:r>
        <w:t>).</w:t>
      </w:r>
      <w:r w:rsidR="007D0737">
        <w:t xml:space="preserve"> Una soluzione che sta emergendo è invece quella di realizzare partenariati con soggetti terzi sorretti finanziariamente da pagamenti in somma fissa garantiti da clausole </w:t>
      </w:r>
      <w:r w:rsidR="007D0737" w:rsidRPr="007D0737">
        <w:rPr>
          <w:i/>
          <w:iCs/>
        </w:rPr>
        <w:t>take-or-pay</w:t>
      </w:r>
      <w:r w:rsidR="007D0737">
        <w:t>.</w:t>
      </w:r>
    </w:p>
    <w:p w14:paraId="3480BFBE" w14:textId="20E6F185" w:rsidR="008D326A" w:rsidRDefault="002679EB" w:rsidP="003331D2">
      <w:pPr>
        <w:pStyle w:val="Titolo3"/>
      </w:pPr>
      <w:r>
        <w:t>I</w:t>
      </w:r>
      <w:r w:rsidR="001D42A6">
        <w:t xml:space="preserve"> </w:t>
      </w:r>
      <w:r w:rsidR="0094602A">
        <w:t xml:space="preserve">sistemi EPR e i </w:t>
      </w:r>
      <w:r w:rsidR="001D42A6">
        <w:t>consorzi obbligatori</w:t>
      </w:r>
    </w:p>
    <w:p w14:paraId="0BCF2F21" w14:textId="52BFD07D" w:rsidR="001774BF" w:rsidRDefault="002839D0" w:rsidP="001774BF">
      <w:r>
        <w:t xml:space="preserve">In Italia, anche grazie al successo della precedente esperienza conseguita con oli </w:t>
      </w:r>
      <w:r w:rsidR="00D77BE3">
        <w:t>minerali</w:t>
      </w:r>
      <w:r>
        <w:t xml:space="preserve"> e batterie, il sistema si costituì secondo il peculiare modello </w:t>
      </w:r>
      <w:r>
        <w:rPr>
          <w:noProof/>
        </w:rPr>
        <mc:AlternateContent>
          <mc:Choice Requires="wpi">
            <w:drawing>
              <wp:anchor distT="0" distB="0" distL="114300" distR="114300" simplePos="0" relativeHeight="251660288" behindDoc="0" locked="0" layoutInCell="1" allowOverlap="1" wp14:anchorId="1BE7AC04" wp14:editId="21BED824">
                <wp:simplePos x="0" y="0"/>
                <wp:positionH relativeFrom="column">
                  <wp:posOffset>7098425</wp:posOffset>
                </wp:positionH>
                <wp:positionV relativeFrom="paragraph">
                  <wp:posOffset>59097</wp:posOffset>
                </wp:positionV>
                <wp:extent cx="39960" cy="475560"/>
                <wp:effectExtent l="57150" t="38100" r="55880" b="58420"/>
                <wp:wrapNone/>
                <wp:docPr id="5" name="Input penna 5"/>
                <wp:cNvGraphicFramePr/>
                <a:graphic xmlns:a="http://schemas.openxmlformats.org/drawingml/2006/main">
                  <a:graphicData uri="http://schemas.microsoft.com/office/word/2010/wordprocessingInk">
                    <w14:contentPart bwMode="auto" r:id="rId12">
                      <w14:nvContentPartPr>
                        <w14:cNvContentPartPr/>
                      </w14:nvContentPartPr>
                      <w14:xfrm>
                        <a:off x="0" y="0"/>
                        <a:ext cx="39960" cy="475560"/>
                      </w14:xfrm>
                    </w14:contentPart>
                  </a:graphicData>
                </a:graphic>
              </wp:anchor>
            </w:drawing>
          </mc:Choice>
          <mc:Fallback>
            <w:pict>
              <v:shapetype w14:anchorId="534AB5FB"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put penna 5" o:spid="_x0000_s1026" type="#_x0000_t75" style="position:absolute;margin-left:558.25pt;margin-top:3.95pt;width:4.6pt;height:38.9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">
                <v:imagedata r:id="rId13" o:title=""/>
              </v:shape>
            </w:pict>
          </mc:Fallback>
        </mc:AlternateContent>
      </w:r>
      <w:r>
        <w:t xml:space="preserve">del </w:t>
      </w:r>
      <w:r w:rsidRPr="003F44AD">
        <w:rPr>
          <w:i/>
          <w:iCs/>
        </w:rPr>
        <w:t>consorzio obbligatorio</w:t>
      </w:r>
      <w:r>
        <w:t>: la legge stabiliva l’obbligo di aderire a un sistema privato con status pubblicistico, cui veniva trasferito l’obbligo di garantire il raggiungimento dell’obiettivo</w:t>
      </w:r>
      <w:r w:rsidR="00D77BE3">
        <w:t>, con la facoltà di chiamarsi fuori solo per chi dimostra di poter provvedere in proprio con un sistema a sua volta accreditato</w:t>
      </w:r>
      <w:r>
        <w:t xml:space="preserve">. </w:t>
      </w:r>
    </w:p>
    <w:p w14:paraId="178517E5" w14:textId="176CDDA9" w:rsidR="002839D0" w:rsidRDefault="001774BF" w:rsidP="001774BF">
      <w:r>
        <w:t xml:space="preserve">Si noti che, fin dal principio, questo </w:t>
      </w:r>
      <w:r w:rsidR="00462203">
        <w:t>modello</w:t>
      </w:r>
      <w:r>
        <w:t xml:space="preserve"> non configura un diritto di </w:t>
      </w:r>
      <w:r w:rsidRPr="002839D0">
        <w:rPr>
          <w:i/>
          <w:iCs/>
        </w:rPr>
        <w:t>monopolio legale</w:t>
      </w:r>
      <w:r>
        <w:t xml:space="preserve"> da parte del consorzio</w:t>
      </w:r>
      <w:r w:rsidR="00D77BE3">
        <w:t xml:space="preserve"> sui materiali raccolti</w:t>
      </w:r>
      <w:r>
        <w:t xml:space="preserve">: </w:t>
      </w:r>
      <w:r w:rsidR="00F67A82">
        <w:t xml:space="preserve">chi raccoglie i </w:t>
      </w:r>
      <w:r>
        <w:t xml:space="preserve">materiali riciclabili </w:t>
      </w:r>
      <w:r w:rsidR="002839D0">
        <w:t>può</w:t>
      </w:r>
      <w:r>
        <w:t xml:space="preserve"> sempre valorizzarli direttamente sul mercato, assumendosene il rischio imprenditoriale. Il consorzio opera semmai come </w:t>
      </w:r>
      <w:proofErr w:type="gramStart"/>
      <w:r>
        <w:t xml:space="preserve">una  </w:t>
      </w:r>
      <w:r w:rsidRPr="002839D0">
        <w:rPr>
          <w:i/>
          <w:iCs/>
        </w:rPr>
        <w:t>clearing</w:t>
      </w:r>
      <w:proofErr w:type="gramEnd"/>
      <w:r w:rsidRPr="002839D0">
        <w:rPr>
          <w:i/>
          <w:iCs/>
        </w:rPr>
        <w:t xml:space="preserve"> house</w:t>
      </w:r>
      <w:r>
        <w:t xml:space="preserve">, essendo responsabile del raggiungimento dell’obiettivo, e dovendo pertanto adoperarsi per avviare al riciclo una quantità pari alla differenza tra l’obiettivo </w:t>
      </w:r>
      <w:r w:rsidR="00C819A2">
        <w:t xml:space="preserve">stabilito dal legislatore </w:t>
      </w:r>
      <w:r>
        <w:t xml:space="preserve">e quanto </w:t>
      </w:r>
      <w:r w:rsidR="002839D0">
        <w:t xml:space="preserve">già </w:t>
      </w:r>
      <w:r>
        <w:t xml:space="preserve">recuperato </w:t>
      </w:r>
      <w:r w:rsidR="002839D0">
        <w:t xml:space="preserve">spontaneamente </w:t>
      </w:r>
      <w:r>
        <w:t xml:space="preserve">dal mercato. </w:t>
      </w:r>
    </w:p>
    <w:p w14:paraId="7627368C" w14:textId="2BB44B03" w:rsidR="002839D0" w:rsidRDefault="001774BF" w:rsidP="001774BF">
      <w:r>
        <w:t xml:space="preserve">In seguito, anche seguendo l’esempio di altri Paesi, </w:t>
      </w:r>
      <w:r w:rsidR="00462203">
        <w:t xml:space="preserve">per altri flussi </w:t>
      </w:r>
      <w:r>
        <w:t xml:space="preserve">sono stati introdotti sistemi collettivi privati tra loro in competizione, ciascuno responsabile di garantire pro quota l’obiettivo, in proporzione agli obblighi </w:t>
      </w:r>
      <w:r w:rsidR="00F67A82">
        <w:t>attribuiti</w:t>
      </w:r>
      <w:r w:rsidR="002839D0">
        <w:t xml:space="preserve"> </w:t>
      </w:r>
      <w:r>
        <w:t xml:space="preserve">ai propri associati. </w:t>
      </w:r>
      <w:r w:rsidR="00974336">
        <w:t>Per tutti</w:t>
      </w:r>
      <w:r w:rsidR="002839D0">
        <w:t xml:space="preserve"> i nuovi sistemi, a partire </w:t>
      </w:r>
      <w:r w:rsidR="00974336">
        <w:t xml:space="preserve">da quello istituito per </w:t>
      </w:r>
      <w:r w:rsidR="002839D0">
        <w:t xml:space="preserve">i </w:t>
      </w:r>
      <w:r w:rsidR="00462203">
        <w:t>rifiuti da apparecchiature elettriche ed elettroniche (</w:t>
      </w:r>
      <w:r w:rsidR="002839D0">
        <w:t>RAEE</w:t>
      </w:r>
      <w:r w:rsidR="00462203">
        <w:t>)</w:t>
      </w:r>
      <w:r w:rsidR="00974336">
        <w:t>,</w:t>
      </w:r>
      <w:r w:rsidR="002839D0">
        <w:t xml:space="preserve"> si è puntato </w:t>
      </w:r>
      <w:r w:rsidR="00974336">
        <w:t>su</w:t>
      </w:r>
      <w:r w:rsidR="002839D0">
        <w:t xml:space="preserve"> sistemi tra loro in concorrenza, pur con un coordinamento centrale che assegna a ciascun sistema gli obiettivi in funzione delle quote di mercato dei rispettivi afferenti e affida a una </w:t>
      </w:r>
      <w:r w:rsidR="002839D0" w:rsidRPr="002839D0">
        <w:rPr>
          <w:i/>
          <w:iCs/>
        </w:rPr>
        <w:t>clearing house</w:t>
      </w:r>
      <w:r w:rsidR="002839D0">
        <w:t xml:space="preserve"> nazionale una responsabilità di ultima istanza in merito all’obiettivo generale. </w:t>
      </w:r>
    </w:p>
    <w:p w14:paraId="59ACB2B0" w14:textId="70A28A1B" w:rsidR="001774BF" w:rsidRDefault="001774BF" w:rsidP="001774BF">
      <w:r>
        <w:t xml:space="preserve">Da ultimo, anche </w:t>
      </w:r>
      <w:r w:rsidR="00974336">
        <w:t>per gli imballaggi</w:t>
      </w:r>
      <w:r>
        <w:t xml:space="preserve"> si è ammessa la possibilità di creare sistemi paralleli e autonomi, sia per materiali specifici (es. il PET rispetto al coacervo delle plastiche) che per soggetti specifici (e.g. </w:t>
      </w:r>
      <w:proofErr w:type="spellStart"/>
      <w:r>
        <w:t>Erion</w:t>
      </w:r>
      <w:proofErr w:type="spellEnd"/>
      <w:r>
        <w:t xml:space="preserve"> Packaging, che si occupa degli imballaggi dei beni elettrici ed elettronici).</w:t>
      </w:r>
    </w:p>
    <w:p w14:paraId="78AEEADE" w14:textId="3765C60F" w:rsidR="008D326A" w:rsidRDefault="001774BF" w:rsidP="008D326A">
      <w:r>
        <w:t>Per garantirsi la consegna di quantità di materiali di scarto coerenti con i propri obiettivi, ciascun sistema deve offrire condizioni di ritiro</w:t>
      </w:r>
      <w:r w:rsidR="00CE5F74">
        <w:t xml:space="preserve"> che rendano conveniente per il titolare del SGRU impegnarsi nella raccolta differenziata</w:t>
      </w:r>
      <w:r>
        <w:t>. Così il sistema CONAI (imballaggi) ha stabilito con ANCI un accordo nazionale che garantisce un prezzo</w:t>
      </w:r>
      <w:r w:rsidR="00974336">
        <w:t xml:space="preserve"> minimo di ritiro, differenziato </w:t>
      </w:r>
      <w:r w:rsidR="00F8770D">
        <w:t>in</w:t>
      </w:r>
      <w:r w:rsidR="00974336">
        <w:t xml:space="preserve"> base </w:t>
      </w:r>
      <w:r w:rsidR="00F8770D">
        <w:t>a</w:t>
      </w:r>
      <w:r w:rsidR="008D326A">
        <w:t>l processo di origine (selezione meccanica, raccolta differenziata, raccolta selettiva) e</w:t>
      </w:r>
      <w:r w:rsidR="00F8770D">
        <w:t>/o</w:t>
      </w:r>
      <w:r w:rsidR="008D326A">
        <w:t xml:space="preserve"> </w:t>
      </w:r>
      <w:r w:rsidR="00F8770D">
        <w:t>a</w:t>
      </w:r>
      <w:r w:rsidR="008D326A">
        <w:t xml:space="preserve">l contenuto di impurità. All’interno di questa griglia, il soggetto titolare della raccolta può decidere dove collocarsi: se, ad esempio, conferire il rifiuto raccolto “tal quale”, al grado di purezza minimo, oppure se effettuare fasi di trattamento aggiuntive (selezione, lavaggio, prepulizia e simili), tramite i quali ottenere materiali più </w:t>
      </w:r>
      <w:r w:rsidR="00F8770D">
        <w:t>omogenei</w:t>
      </w:r>
      <w:r w:rsidR="008D326A">
        <w:t xml:space="preserve"> e </w:t>
      </w:r>
      <w:r w:rsidR="00F8770D">
        <w:t>pregiati</w:t>
      </w:r>
      <w:r w:rsidR="008D326A">
        <w:t xml:space="preserve">. </w:t>
      </w:r>
    </w:p>
    <w:p w14:paraId="6975377D" w14:textId="10D9630D" w:rsidR="008D326A" w:rsidRDefault="008D326A" w:rsidP="008D326A">
      <w:r>
        <w:t xml:space="preserve">Si viene così a creare una zona grigia tra raccolta differenziata (compresa nel perimetro del servizio pubblico) e preparazione per il riciclo. Le attività di nobilitazione delle frazioni raccolte, infatti, possono essere svolte dal titolare del servizio o dal </w:t>
      </w:r>
      <w:r w:rsidR="00F8770D">
        <w:t>sistema EPR</w:t>
      </w:r>
      <w:r>
        <w:t xml:space="preserve">; il diverso corrispettivo potrebbe interpretarsi come costo evitato </w:t>
      </w:r>
      <w:r>
        <w:lastRenderedPageBreak/>
        <w:t>da parte del consorzio rispetto al livello di qualità minimo, ovvero come costo evitato dal gestore rispetto al livello massimo.</w:t>
      </w:r>
    </w:p>
    <w:p w14:paraId="50DEA587" w14:textId="77777777" w:rsidR="008D326A" w:rsidRDefault="008D326A" w:rsidP="008D326A">
      <w:r>
        <w:t xml:space="preserve">Questa zona grigia si allarga man mano che si evolvono modelli alternativi di gestione, che potrebbero almeno teoricamente uscire dal perimetro del servizio pubblico, come i circuiti basati sul “vuoto a rendere”, le raccolte selettive di specifiche frazioni, i sistemi di </w:t>
      </w:r>
      <w:r w:rsidRPr="007D6A40">
        <w:rPr>
          <w:i/>
          <w:iCs/>
        </w:rPr>
        <w:t>sharing</w:t>
      </w:r>
      <w:r>
        <w:t xml:space="preserve"> e quelli basati sul modello </w:t>
      </w:r>
      <w:r w:rsidRPr="007D6A40">
        <w:rPr>
          <w:i/>
          <w:iCs/>
        </w:rPr>
        <w:t>product-as-a-service</w:t>
      </w:r>
      <w:r>
        <w:t xml:space="preserve">. Ancora, vanno considerati tutti quei flussi di origine industriale e commerciale che sono assimilati al RU per natura merceologica, ma i cui detentori possono già ora gestire al di fuori del servizio pubblico venendo esentati dalla relativa tariffa (almeno dalla sua componente variabile). </w:t>
      </w:r>
    </w:p>
    <w:p w14:paraId="08811432" w14:textId="337B4A60" w:rsidR="008D326A" w:rsidRDefault="008D326A" w:rsidP="008D326A">
      <w:r>
        <w:t>Ciò determina l’ulteriore problema dell’allocazione dell’onere economico del raggiungimento degli obiettivi di recupero. Dal punto di vista del gestore, infatti, il rifiuto ha un valore negativo pari al costo che sarebbe necessario per smaltirlo</w:t>
      </w:r>
      <w:r w:rsidR="00462203">
        <w:t xml:space="preserve"> con la migliore soluzione disponibile</w:t>
      </w:r>
      <w:r>
        <w:t xml:space="preserve">; dal punto di vista del recuperatore, in compenso, il suo valore corrisponde alla differenza tra il prezzo di mercato del materiale e i costi necessari per ottenerlo. Il margine di contrattazione viene perciò a dipendere dalle contingenti situazioni locali e in modo particolare </w:t>
      </w:r>
      <w:r w:rsidR="00FF2372">
        <w:t xml:space="preserve">dai </w:t>
      </w:r>
      <w:r w:rsidR="00FF2372" w:rsidRPr="00FF2372">
        <w:rPr>
          <w:i/>
          <w:iCs/>
        </w:rPr>
        <w:t>gate-fee</w:t>
      </w:r>
      <w:r w:rsidR="00FF2372">
        <w:t xml:space="preserve"> applicati</w:t>
      </w:r>
      <w:r>
        <w:t xml:space="preserve"> dagli impianti di trattamento.</w:t>
      </w:r>
    </w:p>
    <w:p w14:paraId="347D10DE" w14:textId="566BF2AF" w:rsidR="00B5657E" w:rsidRDefault="00B5657E" w:rsidP="008D326A">
      <w:r>
        <w:t>Per fare un esempio numerico, supponiamo che il costo di smaltimento sia 100 €/t, mentre il costo necessario per avviare al riciclo una certa frazione (raccolta differenziata e trattamento) sia 130 €/t. Il detentore del rifiuto si potrebbe accontentare di un corrispettivo pari almeno a 30 €/t, che renderebbe la soluzione del riciclo comunque meno costosa. Chiaramente, se lo smaltimento costasse, poniamo, 150 €/t, il detentore del rifiuto sarebbe disposto a pagare fino a 20 €/t pur di esserne liberato. Se il recuperatore non ha alcun vincolo e opera in regime di monopolio, può imporre al raccoglitore condizioni economiche tali da appropriarsi dell’intero margine.</w:t>
      </w:r>
    </w:p>
    <w:p w14:paraId="1A2A8E15" w14:textId="1DFE9225" w:rsidR="00B5657E" w:rsidRDefault="00B5657E" w:rsidP="008D326A">
      <w:r>
        <w:t xml:space="preserve">L’introduzione di obiettivi quantitativi a carico dei sistemi EPR può in parte limitare questo potere di mercato, </w:t>
      </w:r>
      <w:r w:rsidR="00CE5F74">
        <w:t>speci</w:t>
      </w:r>
      <w:r>
        <w:t>e</w:t>
      </w:r>
      <w:r w:rsidR="00CE5F74">
        <w:t xml:space="preserve"> se accompagnati da sanzioni efficaci in caso di mancato raggiungimento.</w:t>
      </w:r>
      <w:r w:rsidR="00765D0B">
        <w:t xml:space="preserve"> Il recuperatore infatti deve garantirsi un flusso sufficiente a raggiungere l’obiettivo.</w:t>
      </w:r>
    </w:p>
    <w:p w14:paraId="3F002A24" w14:textId="26461510" w:rsidR="00B5657E" w:rsidRDefault="00B5657E" w:rsidP="008D326A">
      <w:r>
        <w:t xml:space="preserve">I primi accordi ANCI-CONAI </w:t>
      </w:r>
      <w:r w:rsidR="00FF2372">
        <w:t xml:space="preserve">risentirono chiaramente dello squilibrato potere contrattuale. Mentre infatti per i gestori della raccolta era vitale collocare i materiali raccolti in qualche modo, </w:t>
      </w:r>
      <w:r>
        <w:t>il CONAI</w:t>
      </w:r>
      <w:r w:rsidR="00FF2372">
        <w:t xml:space="preserve">, potendo contare su una consolidata tradizione di riciclo e sulla possibilità di contabilizzare nell’obiettivo anche flussi di imballaggi di origine industriale e commerciale, </w:t>
      </w:r>
      <w:proofErr w:type="gramStart"/>
      <w:r w:rsidR="00FF2372">
        <w:t xml:space="preserve">fu </w:t>
      </w:r>
      <w:r>
        <w:t xml:space="preserve"> in</w:t>
      </w:r>
      <w:proofErr w:type="gramEnd"/>
      <w:r>
        <w:t xml:space="preserve"> condizione di poter raggiungere gli obiettivi concentrandosi sui flussi </w:t>
      </w:r>
      <w:r w:rsidR="00CE5F74">
        <w:t>più facilmente accessibili</w:t>
      </w:r>
      <w:r w:rsidR="00FF2372">
        <w:t>.</w:t>
      </w:r>
      <w:r w:rsidR="00CE5F74">
        <w:t xml:space="preserve"> </w:t>
      </w:r>
      <w:r w:rsidR="00FF2372">
        <w:t>E</w:t>
      </w:r>
      <w:r w:rsidR="00CE5F74">
        <w:t>ssendo i costi di smaltimento ancora molto differenziati sul territorio nazionale (alti al Nord e relativamente bassi al Sud), ne conseguì che il corrispettivo nazionale risultò relativamente conveniente per le raccolte del Nord, meno per quelle del Sud.</w:t>
      </w:r>
      <w:r w:rsidR="00FF2372">
        <w:t xml:space="preserve"> In pratica, al sistema EPR veniva addossato non il costo pieno ma il solo differenziale tra il costo delle raccolte differenziate e quello dello smaltimento indifferenziato (Massarutto, 2019)</w:t>
      </w:r>
      <w:r w:rsidR="00DC75CD">
        <w:t xml:space="preserve">. I sistemi </w:t>
      </w:r>
      <w:r w:rsidR="00DC75CD" w:rsidRPr="00DC75CD">
        <w:rPr>
          <w:i/>
          <w:iCs/>
        </w:rPr>
        <w:t>green-dot,</w:t>
      </w:r>
      <w:r w:rsidR="00DC75CD">
        <w:t xml:space="preserve"> invece, operando in modo parallelo e interamente autonomo, devono farsi necessariamente carico del costo pieno.</w:t>
      </w:r>
    </w:p>
    <w:p w14:paraId="0CAA5261" w14:textId="191FE8E3" w:rsidR="00974336" w:rsidRDefault="00DC75CD" w:rsidP="008D326A">
      <w:r>
        <w:t>I</w:t>
      </w:r>
      <w:r w:rsidR="008D326A">
        <w:t xml:space="preserve">l “Circular Economy Package” dell’UE, </w:t>
      </w:r>
      <w:r>
        <w:t xml:space="preserve">ad ogni modo, </w:t>
      </w:r>
      <w:r w:rsidR="008D326A">
        <w:t xml:space="preserve">impone </w:t>
      </w:r>
      <w:r>
        <w:t xml:space="preserve">ora </w:t>
      </w:r>
      <w:r w:rsidR="008D326A">
        <w:t xml:space="preserve">che </w:t>
      </w:r>
      <w:r w:rsidR="00765D0B">
        <w:t>almeno l’80% del costo del riciclo, e in prospettiva il</w:t>
      </w:r>
      <w:r w:rsidR="008D326A">
        <w:t xml:space="preserve"> 100%</w:t>
      </w:r>
      <w:r w:rsidR="00765D0B">
        <w:t>,</w:t>
      </w:r>
      <w:r w:rsidR="008D326A">
        <w:t xml:space="preserve"> sia da addebitare ai produttori</w:t>
      </w:r>
      <w:r>
        <w:t>.</w:t>
      </w:r>
      <w:r w:rsidR="003331D2">
        <w:t xml:space="preserve"> </w:t>
      </w:r>
      <w:r>
        <w:t>S</w:t>
      </w:r>
      <w:r w:rsidR="003331D2">
        <w:t>i tratta però di determinare cosa va inteso esattamente per costo (il costo marginale o il costo pieno? Il costo effettivo o un costo standard?</w:t>
      </w:r>
      <w:r w:rsidR="00B5657E">
        <w:t>)</w:t>
      </w:r>
      <w:r>
        <w:t>: una questione che dovrà essere risolta nella nuova Direttiva sull’Economia circolare</w:t>
      </w:r>
      <w:r w:rsidR="00B5657E">
        <w:t xml:space="preserve">. </w:t>
      </w:r>
    </w:p>
    <w:p w14:paraId="03F60D1F" w14:textId="7A734644" w:rsidR="000731E7" w:rsidRDefault="000731E7" w:rsidP="000731E7">
      <w:pPr>
        <w:pStyle w:val="Titolo2"/>
      </w:pPr>
      <w:r>
        <w:t>Concorrenza nel mercato e per il mercato: stato dell’arte e prospettive</w:t>
      </w:r>
    </w:p>
    <w:p w14:paraId="59CA1D62" w14:textId="3092F355" w:rsidR="009229D7" w:rsidRDefault="00D75923" w:rsidP="003331D2">
      <w:pPr>
        <w:pStyle w:val="Titolo3"/>
      </w:pPr>
      <w:r>
        <w:t>La concorrenza per il mercato</w:t>
      </w:r>
      <w:r w:rsidR="00674949">
        <w:t>: gli affidamenti</w:t>
      </w:r>
      <w:r w:rsidR="000731E7">
        <w:t xml:space="preserve"> nel segmento M1</w:t>
      </w:r>
    </w:p>
    <w:p w14:paraId="53194BC9" w14:textId="44A4AFF4" w:rsidR="00D75923" w:rsidRDefault="00D75923" w:rsidP="00D75923">
      <w:r>
        <w:t>La regolazione indipendente trova giustificazione, nella letteratura economica, in quelle situazioni in cui non possono dispiegarsi appieno i benefici effetti della concorrenza (Baldwin et al., 2019</w:t>
      </w:r>
      <w:proofErr w:type="gramStart"/>
      <w:r>
        <w:t>) ,</w:t>
      </w:r>
      <w:proofErr w:type="gramEnd"/>
      <w:r>
        <w:t xml:space="preserve"> in particolare quando </w:t>
      </w:r>
      <w:r>
        <w:lastRenderedPageBreak/>
        <w:t xml:space="preserve">si è in presenza di contratti incompleti che necessitano di essere completati in corso d’opera (Goldberg, 1976). </w:t>
      </w:r>
      <w:r w:rsidR="005F7EBE">
        <w:t>Secondo un noto teorema, le gare risultano perfett</w:t>
      </w:r>
      <w:r w:rsidR="00765D0B">
        <w:t>ament</w:t>
      </w:r>
      <w:r w:rsidR="005F7EBE">
        <w:t>e equivalenti della concorrenza nel mercato quando possono basarsi solo sul corrispettivo economico (gare uni-dimensionali); quando vi partecipano numerosi soggetti in grado di operare in condizioni di massima efficienza; quando sono assenti o minimi i costi di transazione (preparazione del bando, aggiudicazione, contenziosi) e quando i contratti sono completi, includendo le fattispecie future</w:t>
      </w:r>
      <w:r w:rsidR="00077A5E">
        <w:t xml:space="preserve"> in grado di incidere sui ritorni economici</w:t>
      </w:r>
      <w:r w:rsidR="005F7EBE">
        <w:t xml:space="preserve"> (Sappington e Stiglitz, 1989)</w:t>
      </w:r>
    </w:p>
    <w:p w14:paraId="1DDC3D9B" w14:textId="112E4FE3" w:rsidR="00077A5E" w:rsidRDefault="0002189E" w:rsidP="00D75923">
      <w:proofErr w:type="gramStart"/>
      <w:r>
        <w:t>E’</w:t>
      </w:r>
      <w:proofErr w:type="gramEnd"/>
      <w:r>
        <w:t xml:space="preserve"> quindi interessante </w:t>
      </w:r>
      <w:r w:rsidR="00F17367">
        <w:t>verificare sul campo la presenza di questi requisiti</w:t>
      </w:r>
      <w:r>
        <w:t xml:space="preserve">. </w:t>
      </w:r>
    </w:p>
    <w:p w14:paraId="2BB9EAB5" w14:textId="22C622AC" w:rsidR="00674949" w:rsidRDefault="007E187A" w:rsidP="00D75923">
      <w:r>
        <w:t>Già si è ricordato che</w:t>
      </w:r>
      <w:r w:rsidR="00FF15DE">
        <w:t xml:space="preserve"> non esiste alcun</w:t>
      </w:r>
      <w:r w:rsidR="00674949">
        <w:t>a concorrenza nel</w:t>
      </w:r>
      <w:r w:rsidR="00FF15DE">
        <w:t xml:space="preserve"> mercato nel segmento dei RU, contrariamente a quel che accade per i rifiuti speciali, dove </w:t>
      </w:r>
      <w:r w:rsidR="00450E14">
        <w:t>ciò</w:t>
      </w:r>
      <w:r w:rsidR="00FF15DE">
        <w:t xml:space="preserve"> rappresenta la norma. </w:t>
      </w:r>
      <w:r w:rsidR="00674949">
        <w:t xml:space="preserve">Per quanto sia lecito pronosticare in futuro </w:t>
      </w:r>
      <w:r>
        <w:t>qualche nicchia di</w:t>
      </w:r>
      <w:r w:rsidR="00674949">
        <w:t xml:space="preserve"> servizi a mercato anche nel comparto dei RU (raccolte selettive, sistemi di restituzione dell’usato, </w:t>
      </w:r>
      <w:proofErr w:type="spellStart"/>
      <w:r w:rsidR="00674949" w:rsidRPr="007E187A">
        <w:rPr>
          <w:i/>
          <w:iCs/>
        </w:rPr>
        <w:t>refilling</w:t>
      </w:r>
      <w:proofErr w:type="spellEnd"/>
      <w:r w:rsidR="00674949">
        <w:t xml:space="preserve">), questi spazi oggi sono trascurabili (Massarutto, 2024). Quando parliamo di concorrenza </w:t>
      </w:r>
      <w:r>
        <w:t>ci riferiamo quindi</w:t>
      </w:r>
      <w:r w:rsidR="00674949">
        <w:t xml:space="preserve"> alla “concorrenza per il mercato”, ossia all’affidamento tramite gara. </w:t>
      </w:r>
    </w:p>
    <w:p w14:paraId="55C3EEB6" w14:textId="6AAB8D64" w:rsidR="00674949" w:rsidRDefault="00FF15DE" w:rsidP="00D75923">
      <w:r>
        <w:t xml:space="preserve">Nel settore dei RU </w:t>
      </w:r>
      <w:r w:rsidR="00674949">
        <w:t>non vi sono</w:t>
      </w:r>
      <w:r>
        <w:t xml:space="preserve"> esperienze di affidamento del servizio integrato che comprendano M1 e M2 fino alla </w:t>
      </w:r>
      <w:r w:rsidR="00674949">
        <w:t xml:space="preserve">completa </w:t>
      </w:r>
      <w:r>
        <w:t xml:space="preserve">chiusura del ciclo. Gli affidamenti </w:t>
      </w:r>
      <w:r w:rsidR="00C17C54">
        <w:t>“a regime” (effettuati a livello di ATO per periodi di almeno 10 anni</w:t>
      </w:r>
      <w:r w:rsidR="00940DB2">
        <w:t>, con responsabilità per il raggiungimento di obiettivi e relativi rischi economici</w:t>
      </w:r>
      <w:r w:rsidR="00C17C54">
        <w:t xml:space="preserve">) </w:t>
      </w:r>
      <w:r>
        <w:t>interessano M1 e alcune fasi di trattamento intermedio</w:t>
      </w:r>
      <w:r w:rsidR="00C17C54">
        <w:t xml:space="preserve">. </w:t>
      </w:r>
      <w:r w:rsidR="006C2C91">
        <w:t>Il contratto di servizio prevede in genere il destino dei</w:t>
      </w:r>
      <w:r w:rsidR="00674949">
        <w:t xml:space="preserve"> flussi in uscita</w:t>
      </w:r>
      <w:r w:rsidR="006C2C91">
        <w:t>. Questi</w:t>
      </w:r>
      <w:r w:rsidR="00674949">
        <w:t xml:space="preserve"> possono essere eventualmente conferiti ad impianti di proprietà del medesimo gruppo, eventualmente assoggettate alla regolazione della tariffa al cancello; quando non si dà questa opportunità, il gestore ricorre alle gare per reperire la capacità di trattamento, o segue le prescrizioni del piano. </w:t>
      </w:r>
    </w:p>
    <w:p w14:paraId="1CAF51BE" w14:textId="32CA5302" w:rsidR="00C17C54" w:rsidRDefault="00765D0B" w:rsidP="00D75923">
      <w:r>
        <w:t>P</w:t>
      </w:r>
      <w:r w:rsidR="00674949">
        <w:t>er affidamenti di questo tipo l</w:t>
      </w:r>
      <w:r w:rsidR="00C17C54">
        <w:t xml:space="preserve">e gare sono state finora </w:t>
      </w:r>
      <w:r>
        <w:t xml:space="preserve">assai </w:t>
      </w:r>
      <w:r w:rsidR="00C17C54">
        <w:t xml:space="preserve">poche. Alcune hanno visto un solo partecipante, le altre al massimo due. L’operatore incumbent ha sempre ottenuto l’aggiudicazione, </w:t>
      </w:r>
      <w:r w:rsidR="00AF6651">
        <w:t xml:space="preserve">anche presentandosi in associazioni temporanee di imprese con altri operatori già presenti sul territorio. Non si è mai data finora l’aggiudicazione a soggetti completamente estranei alla compagine del gestore uscente. </w:t>
      </w:r>
      <w:r w:rsidR="00950B76">
        <w:t xml:space="preserve">Si tratta sempre di gare </w:t>
      </w:r>
      <w:r w:rsidR="006C2C91">
        <w:t xml:space="preserve">“all’offerta economicamente più vantaggiosa”, </w:t>
      </w:r>
      <w:r w:rsidR="00950B76">
        <w:t xml:space="preserve">che assegnano un peso significativo </w:t>
      </w:r>
      <w:r>
        <w:t>alla parte</w:t>
      </w:r>
      <w:r w:rsidR="00950B76">
        <w:t xml:space="preserve"> tecnica. Nell’offerta economica i</w:t>
      </w:r>
      <w:r w:rsidR="00AF6651">
        <w:t xml:space="preserve"> ribassi </w:t>
      </w:r>
      <w:r w:rsidR="00950B76">
        <w:t xml:space="preserve">sulla base d’asta </w:t>
      </w:r>
      <w:r w:rsidR="00AF6651">
        <w:t>ci sono stati, ma abbastanza limitati</w:t>
      </w:r>
      <w:r w:rsidR="00950B76">
        <w:t>:</w:t>
      </w:r>
      <w:r w:rsidR="00AF6651">
        <w:t xml:space="preserve"> mediamente dell’1,9% in presenza di un solo partecipante, 4,55% quando i partecipanti sono due, e 11% nell’unico caso con 3 partecipanti.</w:t>
      </w:r>
      <w:r w:rsidR="00766ABC">
        <w:t xml:space="preserve"> </w:t>
      </w:r>
      <w:r w:rsidR="005F7EBE">
        <w:t xml:space="preserve">Praticamente in tutte le circostanze si sono verificate </w:t>
      </w:r>
      <w:proofErr w:type="spellStart"/>
      <w:r w:rsidR="005F7EBE">
        <w:t>rischieste</w:t>
      </w:r>
      <w:proofErr w:type="spellEnd"/>
      <w:r w:rsidR="005F7EBE">
        <w:t xml:space="preserve"> di adeguamento del corrispettivo </w:t>
      </w:r>
      <w:r w:rsidR="00950B76">
        <w:t>successivamente al</w:t>
      </w:r>
      <w:r w:rsidR="005F7EBE">
        <w:t>l’aggiudicazione</w:t>
      </w:r>
      <w:r w:rsidR="006C2C91">
        <w:t>, rese necessarie anche dalla contemporanea o successiva entrata in vigore della regolazione ARERA</w:t>
      </w:r>
      <w:r w:rsidR="00950B76">
        <w:t>.</w:t>
      </w:r>
    </w:p>
    <w:p w14:paraId="639BCCDF" w14:textId="0DF0DB60" w:rsidR="00CB01E4" w:rsidRDefault="006C2C91" w:rsidP="00D75923">
      <w:r>
        <w:t>Al contrario, l</w:t>
      </w:r>
      <w:r w:rsidR="00C17C54">
        <w:t xml:space="preserve">a concorrenza è molto vivace </w:t>
      </w:r>
      <w:r w:rsidR="00950B76">
        <w:t xml:space="preserve">solo </w:t>
      </w:r>
      <w:r w:rsidR="00C17C54">
        <w:t xml:space="preserve">quando l’affidamento </w:t>
      </w:r>
      <w:r w:rsidR="00940DB2">
        <w:t>riguarda territori limitati a un solo o pochi piccoli comuni, periodi brevi; e a maggior ragione quando si tratta di gare per l’outsourcing di attività operative da parte del soggetto gestore.</w:t>
      </w:r>
      <w:r w:rsidR="00C17C54">
        <w:t xml:space="preserve"> </w:t>
      </w:r>
    </w:p>
    <w:p w14:paraId="66E7C135" w14:textId="2D9F5377" w:rsidR="00766ABC" w:rsidRDefault="00766ABC" w:rsidP="00D75923">
      <w:r>
        <w:t xml:space="preserve">Nel complesso </w:t>
      </w:r>
      <w:r w:rsidR="006C2C91">
        <w:t xml:space="preserve">il quadro empirico </w:t>
      </w:r>
      <w:r>
        <w:t>sembra conferma</w:t>
      </w:r>
      <w:r w:rsidR="006C2C91">
        <w:t>re</w:t>
      </w:r>
      <w:r>
        <w:t xml:space="preserve"> la tesi</w:t>
      </w:r>
      <w:r w:rsidR="00950B76">
        <w:t>,</w:t>
      </w:r>
      <w:r>
        <w:t xml:space="preserve"> già </w:t>
      </w:r>
      <w:r w:rsidR="00722EFD">
        <w:t>argomentata</w:t>
      </w:r>
      <w:r>
        <w:t xml:space="preserve"> in precedenti lavori, che vuole la gestione integrata</w:t>
      </w:r>
      <w:r w:rsidR="00950B76">
        <w:t xml:space="preserve"> non particolarmente adatta all’affidamento tramite gara, o comunque ritiene le gare non risolutive, nel senso di non in grado di individuare in modo definitivo il corrispettivo economico</w:t>
      </w:r>
      <w:r w:rsidR="006C2C91">
        <w:t xml:space="preserve"> (Massarutto, 2007; 2019)</w:t>
      </w:r>
      <w:r w:rsidR="00950B76">
        <w:t>.</w:t>
      </w:r>
    </w:p>
    <w:p w14:paraId="392C3691" w14:textId="340F22DB" w:rsidR="000731E7" w:rsidRDefault="007E187A" w:rsidP="000731E7">
      <w:pPr>
        <w:pStyle w:val="Titolo3"/>
      </w:pPr>
      <w:r>
        <w:t>Dalla pianificazione al mercato nelle fasi di trattamento dei RU</w:t>
      </w:r>
    </w:p>
    <w:p w14:paraId="30C3D669" w14:textId="6C4A3D6D" w:rsidR="000731E7" w:rsidRDefault="00950B76" w:rsidP="00D75923">
      <w:r>
        <w:t>Nel segmento M2, come si è visto sopra, il mercato è limitato a</w:t>
      </w:r>
      <w:r w:rsidR="000603B5">
        <w:t>d alcuni</w:t>
      </w:r>
      <w:r>
        <w:t xml:space="preserve"> flussi</w:t>
      </w:r>
      <w:r w:rsidR="000603B5">
        <w:t>, segnatamente quelli in uscita dagli impianti TMB</w:t>
      </w:r>
      <w:r w:rsidR="00CE28F7">
        <w:t xml:space="preserve"> e destinati alla termovalorizzazione, da un lato; e quelli organici destinati agli impianti aerobico-anaerobici. </w:t>
      </w:r>
      <w:r w:rsidR="000731E7">
        <w:t>Entrambi i segmenti di mercato appaiono fortemente concentrati, con 3-4 imprese in controllo della quasi totalità della capacità produttiva</w:t>
      </w:r>
      <w:r w:rsidR="007E187A">
        <w:t xml:space="preserve"> e in condizioni di partecipare in modo sistematico alle gare</w:t>
      </w:r>
      <w:r w:rsidR="00722EFD">
        <w:t xml:space="preserve"> (Massarutto, 2025)</w:t>
      </w:r>
      <w:r w:rsidR="000731E7">
        <w:t>.</w:t>
      </w:r>
    </w:p>
    <w:p w14:paraId="47887D95" w14:textId="3CAF6D66" w:rsidR="007E187A" w:rsidRDefault="000731E7" w:rsidP="00D75923">
      <w:r>
        <w:t xml:space="preserve">Non ci risulta esistere una rassegna sistematica dei bandi di gara con i quali i gestori si sono procurati la capacità di trattamento necessaria. </w:t>
      </w:r>
      <w:r w:rsidR="007E187A">
        <w:t xml:space="preserve">Si tratta a nostro avviso di una lacuna conoscitiva piuttosto grave, cui </w:t>
      </w:r>
      <w:r w:rsidR="007E187A">
        <w:lastRenderedPageBreak/>
        <w:t xml:space="preserve">sarebbe possibile porre rimedio attingendo ai dati che si presume siano in possesso di soggetti come l’ANAC, che tuttavia non sono liberamente disponibili. </w:t>
      </w:r>
      <w:r w:rsidR="00CD7834">
        <w:t>ARERA ha previsto che gli impianti, anche se non assoggettati alla regolazione, siano tenuti a rendere pubblicamente disponibili i corrispettivi applicati ai vari lotti in ingresso, ma ancora il dato non è reso pubblico.</w:t>
      </w:r>
    </w:p>
    <w:p w14:paraId="63A0FDF1" w14:textId="66CE9EDA" w:rsidR="00950B76" w:rsidRDefault="000731E7" w:rsidP="00D75923">
      <w:r>
        <w:t xml:space="preserve">In base a osservazioni sporadiche da noi condotte su alcuni bandi reperiti in rete e </w:t>
      </w:r>
      <w:r w:rsidR="00CD7834">
        <w:t xml:space="preserve">occasionali </w:t>
      </w:r>
      <w:r>
        <w:t>interviste con operatori, emerge comunque un mercato dominato da pochissim</w:t>
      </w:r>
      <w:r w:rsidR="007E187A">
        <w:t>e</w:t>
      </w:r>
      <w:r>
        <w:t xml:space="preserve"> </w:t>
      </w:r>
      <w:r w:rsidR="007E187A">
        <w:t>aziende.</w:t>
      </w:r>
      <w:r>
        <w:t xml:space="preserve"> </w:t>
      </w:r>
      <w:r w:rsidR="007E187A">
        <w:t>A</w:t>
      </w:r>
      <w:r>
        <w:t xml:space="preserve">lle gare </w:t>
      </w:r>
      <w:r w:rsidR="007E187A">
        <w:t xml:space="preserve">partecipano </w:t>
      </w:r>
      <w:r>
        <w:t>uno</w:t>
      </w:r>
      <w:r w:rsidR="007E187A">
        <w:t>-</w:t>
      </w:r>
      <w:r>
        <w:t xml:space="preserve">due candidati </w:t>
      </w:r>
      <w:r w:rsidR="007E187A">
        <w:t xml:space="preserve">al massimo </w:t>
      </w:r>
      <w:r>
        <w:t>(tra i quali è sempre presente uno dei “big”); g</w:t>
      </w:r>
      <w:r w:rsidR="00CE28F7">
        <w:t xml:space="preserve">li altri operatori sopravvivono solo </w:t>
      </w:r>
      <w:r w:rsidR="007E187A">
        <w:t>su ambiti locali, e quando</w:t>
      </w:r>
      <w:r w:rsidR="00CE28F7">
        <w:t xml:space="preserve"> è il piano regionale a destinarvi i flussi raccolti.</w:t>
      </w:r>
    </w:p>
    <w:p w14:paraId="4ADDE30E" w14:textId="4F40324C" w:rsidR="000731E7" w:rsidRDefault="007E187A" w:rsidP="00D75923">
      <w:r>
        <w:t>Le gare riguardano in genere singoli lotti da gestire nell’immediato o nei mesi immediatamente successivi.</w:t>
      </w:r>
    </w:p>
    <w:p w14:paraId="6CD666D9" w14:textId="008FD747" w:rsidR="00CD7834" w:rsidRDefault="00CD7834" w:rsidP="00D75923">
      <w:r>
        <w:t>Per altro verso, laddove vi siano situazioni di eccesso di capacità, pur potendo rivolgerla alle aree deficitarie del Paese e ai “flussi di ritorno” (si veda il par. 2.2) è ben possibile che la capacità in eccesso si riversi sul mercato a prezzi vicini ai costi marginali. L’elevata intensità di capitale gioca sicuramente a favore</w:t>
      </w:r>
      <w:r w:rsidR="00765D0B">
        <w:t xml:space="preserve"> di una tale soluzione.</w:t>
      </w:r>
    </w:p>
    <w:p w14:paraId="55B52BC9" w14:textId="7E787737" w:rsidR="00F93118" w:rsidRDefault="00CE28F7" w:rsidP="00D75923">
      <w:r>
        <w:t xml:space="preserve">Un altro aspetto da monitorare riguarda le barriere all’entrata. </w:t>
      </w:r>
      <w:r w:rsidR="00344863">
        <w:t xml:space="preserve">Va innanzitutto premesso che per questi impianti le barriere all’entrata non sono solo di tipo economico; altrettanto, se non più, rilevanti sono quelle che si originano nel processo autorizzativo e nell’acquisizione del consenso della popolazione locale. </w:t>
      </w:r>
      <w:r>
        <w:t xml:space="preserve">Nel settore dell’incenerimento, </w:t>
      </w:r>
      <w:r w:rsidR="00344863">
        <w:t xml:space="preserve">in particolare, </w:t>
      </w:r>
      <w:r>
        <w:t>l’entrata in funzione di nuovi impianti è legata a scelte molto complesse e divisive</w:t>
      </w:r>
      <w:r w:rsidR="00771558">
        <w:t>,</w:t>
      </w:r>
      <w:r>
        <w:t xml:space="preserve"> effettuate dalle amministrazioni</w:t>
      </w:r>
      <w:r w:rsidR="00771558">
        <w:t>.</w:t>
      </w:r>
      <w:r>
        <w:t xml:space="preserve"> </w:t>
      </w:r>
    </w:p>
    <w:p w14:paraId="06FE5D76" w14:textId="53E879FA" w:rsidR="00CE28F7" w:rsidRDefault="00771558" w:rsidP="00D75923">
      <w:r>
        <w:t>Si pensi all’impianto di Acerra (NA), realizzato in regime di commissariamento e a fronte di un’ostilità radicale della popolazione</w:t>
      </w:r>
      <w:r w:rsidR="006C2C91">
        <w:t>;</w:t>
      </w:r>
      <w:r>
        <w:t xml:space="preserve"> alle tormentate vicende de</w:t>
      </w:r>
      <w:r w:rsidR="007E187A">
        <w:t>ll’</w:t>
      </w:r>
      <w:r>
        <w:t>impiant</w:t>
      </w:r>
      <w:r w:rsidR="007E187A">
        <w:t>o</w:t>
      </w:r>
      <w:r>
        <w:t xml:space="preserve"> di Roma (finalmente approvato</w:t>
      </w:r>
      <w:r w:rsidR="006C2C91">
        <w:t xml:space="preserve"> e appaltato</w:t>
      </w:r>
      <w:r w:rsidR="00F93118">
        <w:t xml:space="preserve"> ad ACEA). Al momento risultano attivi due altri progetti di nuovi impianti (a Palermo e Catania</w:t>
      </w:r>
      <w:r w:rsidR="007E187A">
        <w:t>, ancora da appaltare</w:t>
      </w:r>
      <w:r w:rsidR="00F93118">
        <w:t xml:space="preserve">), oltre che qualche caso di revamping di impianti già in funzione (Ferrara). In compenso è stata </w:t>
      </w:r>
      <w:r w:rsidR="000731E7">
        <w:t>decisa</w:t>
      </w:r>
      <w:r w:rsidR="00F93118">
        <w:t xml:space="preserve"> </w:t>
      </w:r>
      <w:r w:rsidR="000731E7">
        <w:t xml:space="preserve">la chiusura definitiva di alcuni impianti (es. Livorno, Sesto San </w:t>
      </w:r>
      <w:proofErr w:type="spellStart"/>
      <w:r w:rsidR="000731E7">
        <w:t>GIovanni</w:t>
      </w:r>
      <w:proofErr w:type="spellEnd"/>
      <w:r w:rsidR="000731E7">
        <w:t xml:space="preserve">). </w:t>
      </w:r>
      <w:r w:rsidR="00CD7834">
        <w:t xml:space="preserve">Queste barriere consentono agli impianti incumbent di esercitare un potere di mercato “di fatto”. </w:t>
      </w:r>
    </w:p>
    <w:p w14:paraId="6686ECA5" w14:textId="0A5655CE" w:rsidR="00F93118" w:rsidRDefault="000731E7" w:rsidP="000731E7">
      <w:r>
        <w:t>Più articolato è il discorso da fare per gli impianti di trattamento anaerobico-aerobico del rifiuto organico</w:t>
      </w:r>
      <w:r w:rsidR="00F93118">
        <w:t xml:space="preserve"> (Ballabio et al., 2023). I dati ISPRA mostrano una consistente migrazione dal Centro-Sud verso gli impianti del Nord (oltre 1 Mt è il surplus che si verifica in sole tre regioni, Lombardia, Veneto e Friuli Venezia Giulia, che non a caso ospitano i tre impianti sopra citati). </w:t>
      </w:r>
    </w:p>
    <w:p w14:paraId="613155A0" w14:textId="77777777" w:rsidR="00F93118" w:rsidRDefault="00F93118" w:rsidP="00F93118">
      <w:r>
        <w:t xml:space="preserve">La possibilità di ricavare biogas rinnovabile e quindi di accedere agli incentivi per la transizione energetica ha incrementato l’interesse per questa soluzione tecnologica, tanto che lo stesso PNRR ha stanziato interventi per complessivi 400 M€. Le gare celebrate negli ultimi mesi hanno peraltro visto precipitare il prezzo di aggiudicazione che si è più che dimezzato giungendo a valori dell’ordine dei 40 €/t, che molti analisti del settore giudicano </w:t>
      </w:r>
      <w:proofErr w:type="spellStart"/>
      <w:r>
        <w:t>finanziamente</w:t>
      </w:r>
      <w:proofErr w:type="spellEnd"/>
      <w:r>
        <w:t xml:space="preserve"> non sostenibile per la gran parte dei progetti presentati per il finanziamento, per lo più di taglia media, anche considerando i vistosi incrementi del prezzo del gas che, almeno in parte, possono spiegare. </w:t>
      </w:r>
    </w:p>
    <w:p w14:paraId="79591BE2" w14:textId="3CAEB33E" w:rsidR="00674949" w:rsidRDefault="00F93118" w:rsidP="00F93118">
      <w:r>
        <w:t>Se si tratta di superiore efficienza dei tre impianti già operativi, di una situazione momentanea di eccesso di offerta destinata a riassorbirsi, o piuttosto di una deliberata strategia volta a scoraggiare l’entrata di nuovi operatori è difficile da dire sulla base dei pochi segnali i nostro possesso; certamente, simili oscillazioni  lasciano quantomeno ipotizzare che il mercato sia ben lungi dal trovarsi in una situazione di equilibrio e che un intervento regolatorio potrebbe mitigare l’incertezza di medio-lungo periodo.</w:t>
      </w:r>
    </w:p>
    <w:p w14:paraId="36AF9AE9" w14:textId="27A0CEFA" w:rsidR="000731E7" w:rsidRDefault="00FF36FD" w:rsidP="000731E7">
      <w:pPr>
        <w:pStyle w:val="Titolo3"/>
      </w:pPr>
      <w:r>
        <w:t>Concorrenza nel mercato del riciclo</w:t>
      </w:r>
    </w:p>
    <w:p w14:paraId="61BA1626" w14:textId="606450AD" w:rsidR="001C0B6E" w:rsidRDefault="00674949" w:rsidP="00D75923">
      <w:r>
        <w:t>Nel segmento M3</w:t>
      </w:r>
      <w:r w:rsidR="00FF36FD">
        <w:t xml:space="preserve"> occorre in primo luogo notare che il modello organizzativo prescelto dal legislatore</w:t>
      </w:r>
      <w:r w:rsidR="001C0B6E">
        <w:t xml:space="preserve"> per gli imballaggi</w:t>
      </w:r>
      <w:r w:rsidR="00FF36FD">
        <w:t xml:space="preserve"> </w:t>
      </w:r>
      <w:r w:rsidR="001C0B6E">
        <w:t xml:space="preserve">conferisce al CONAI un potere di mercato, dal momento che esso stabilisce in modo discrezionale </w:t>
      </w:r>
      <w:r w:rsidR="001C0B6E">
        <w:lastRenderedPageBreak/>
        <w:t xml:space="preserve">l’ammontare totale della contribuzione finanziaria e la sua articolazione per tipo di imballaggio e materiale. </w:t>
      </w:r>
      <w:proofErr w:type="gramStart"/>
      <w:r w:rsidR="001C0B6E">
        <w:t>E’</w:t>
      </w:r>
      <w:proofErr w:type="gramEnd"/>
      <w:r w:rsidR="001C0B6E">
        <w:t xml:space="preserve"> peraltro vero che è interesse dei consorziati garantire che la spesa sia la minore possibile</w:t>
      </w:r>
      <w:r w:rsidR="00CE5F74">
        <w:t xml:space="preserve">; ciò però non esclude che produttori più forti sul piano quantitativo e maggiormente rappresentati all’interno del Consorzio possano imporre condizioni di relativo vantaggio per </w:t>
      </w:r>
      <w:r w:rsidR="00036C85">
        <w:t>i propri</w:t>
      </w:r>
      <w:r w:rsidR="00CE5F74">
        <w:t xml:space="preserve"> materiali.</w:t>
      </w:r>
    </w:p>
    <w:p w14:paraId="31BE5BEC" w14:textId="172C232D" w:rsidR="00674949" w:rsidRDefault="00CE5F74" w:rsidP="00D75923">
      <w:r>
        <w:t>A</w:t>
      </w:r>
      <w:r w:rsidR="001C0B6E">
        <w:t>lle imprese aderenti è comunque lasciata la possibilità di creare un proprio sistema in alternativa all’adesione al CONAI</w:t>
      </w:r>
      <w:r>
        <w:t>, ma tale possibilità richiede un iter assai laborioso.</w:t>
      </w:r>
    </w:p>
    <w:p w14:paraId="355905B1" w14:textId="2822DFCC" w:rsidR="00110B18" w:rsidRDefault="001C0B6E" w:rsidP="00D75923">
      <w:r>
        <w:t xml:space="preserve">Finora il problema </w:t>
      </w:r>
      <w:r w:rsidR="004045C9">
        <w:t xml:space="preserve">è rimasto latente, anche grazie al limitato costo gravante sulle imprese aderenti, corrispondente a una frazione del costo sostenuto per l’adesione ai sistemi EPR in altri Paesi come la Germania (Massarutto, 2025). </w:t>
      </w:r>
    </w:p>
    <w:p w14:paraId="2D90EF49" w14:textId="77777777" w:rsidR="00110B18" w:rsidRDefault="00110B18" w:rsidP="00110B18">
      <w:r>
        <w:t xml:space="preserve">Attualmente in Italia il tasso di copertura non è noto con certezza; la stima dipende anche dalla definizione di costo adottata. Uno studio indipendente perviene a una stima pari 54% del costo pieno; facendo riferimento invece al costo evitato (quanto avrebbe speso il servizio pubblico per raccogliere e smaltire tali flussi insieme all’indifferenziato), il valore sale al 69-90% (Azzurro et al., 2023). Se si adotta il principio del costo pieno, coerente con i dettami europei, la copertura media a livello nazionale è stimata da ARERA pari al 42%, (ARERA, 2023a). </w:t>
      </w:r>
    </w:p>
    <w:p w14:paraId="0FCEC171" w14:textId="120FBE78" w:rsidR="00110B18" w:rsidRDefault="00110B18" w:rsidP="00110B18">
      <w:r>
        <w:t xml:space="preserve">Con il secondo periodo regolatorio ARERA ha richiesto ai gestori di accompagnare la propria proposta tariffaria con il calcolo dell’indicatore H, pari al rapporto tra ricavi dalla vendita dei materiali e costi sostenuti per la loro raccolta e selezione, cosa che </w:t>
      </w:r>
      <w:proofErr w:type="spellStart"/>
      <w:r>
        <w:t>permettte</w:t>
      </w:r>
      <w:proofErr w:type="spellEnd"/>
      <w:r>
        <w:t xml:space="preserve"> di conoscere il dato con maggiore precisione, anche se su un numero di gestioni ancora incompleto</w:t>
      </w:r>
      <w:r w:rsidR="00344863">
        <w:t xml:space="preserve"> che copre solo il 13,6% della popolazione</w:t>
      </w:r>
      <w:r w:rsidR="00C02A76">
        <w:t xml:space="preserve"> (Arera, 2023a)</w:t>
      </w:r>
      <w:r>
        <w:t>. Si evidenziano valori dell’indicatore molto differenziati a livello territoriale, solo il 12,7% degli ambiti tariffari esaminati raggiungono il livello di copertura minimo dell’80%</w:t>
      </w:r>
      <w:r w:rsidR="00C02A76">
        <w:t xml:space="preserve">; per almeno metà dei comuni e dalla popolazione servita la copertura è tra il 30 e il 40% del costo totale. Ne conseguirebbe che </w:t>
      </w:r>
      <w:r>
        <w:t>i corrispettivi attualmente pagati dai consorzi di filiera dovrebbero raddoppiare</w:t>
      </w:r>
      <w:r w:rsidR="00C02A76">
        <w:t xml:space="preserve"> o triplicare</w:t>
      </w:r>
      <w:r>
        <w:t xml:space="preserve">, ripercuotendosi fatalmente </w:t>
      </w:r>
      <w:r w:rsidR="00344863">
        <w:t>sui</w:t>
      </w:r>
      <w:r>
        <w:t xml:space="preserve"> contributi che i produttori versano ai consorzi. Attualmente il “sistema CONAI” (che raggruppa 7 consorzi di </w:t>
      </w:r>
      <w:proofErr w:type="spellStart"/>
      <w:r>
        <w:t>fiiera</w:t>
      </w:r>
      <w:proofErr w:type="spellEnd"/>
      <w:r>
        <w:t xml:space="preserve"> dei diversi materiali) versa ai comuni un ammontare di corrispettivi pari a circa 700 M€ (Conai, 2024). </w:t>
      </w:r>
    </w:p>
    <w:p w14:paraId="09DFB63D" w14:textId="42341034" w:rsidR="00110B18" w:rsidRDefault="00110B18" w:rsidP="00110B18">
      <w:r>
        <w:t xml:space="preserve">Ciò comporterebbe numerosi problemi. Da una parte, già oggi il CAC rappresenta un onere evaso da un </w:t>
      </w:r>
      <w:r w:rsidR="004045C9">
        <w:t xml:space="preserve">buon </w:t>
      </w:r>
      <w:r>
        <w:t>numero di operatori</w:t>
      </w:r>
      <w:r w:rsidR="004045C9">
        <w:t xml:space="preserve">, vuoi per mancata adesione, vuoi per la </w:t>
      </w:r>
      <w:proofErr w:type="spellStart"/>
      <w:r w:rsidR="004045C9">
        <w:t>sottodichiarazione</w:t>
      </w:r>
      <w:proofErr w:type="spellEnd"/>
      <w:r w:rsidR="004045C9">
        <w:t xml:space="preserve"> degli imballaggi immessi sul mercato</w:t>
      </w:r>
      <w:r>
        <w:t xml:space="preserve">; </w:t>
      </w:r>
      <w:r w:rsidR="004045C9">
        <w:t xml:space="preserve">CONAI stima che l’evasione raggiunga circa il 5-10% del gettito atteso. </w:t>
      </w:r>
      <w:r w:rsidR="00C02A76">
        <w:t>Triplicare</w:t>
      </w:r>
      <w:r>
        <w:t xml:space="preserve"> </w:t>
      </w:r>
      <w:r w:rsidR="00C02A76">
        <w:t>i</w:t>
      </w:r>
      <w:r w:rsidR="004045C9">
        <w:t xml:space="preserve">l CAC </w:t>
      </w:r>
      <w:r>
        <w:t>significherebbe moltiplicare l’incentivo all’evasione e di conseguenza l’incentivo, per le frazioni che sono in grado di farlo, ad uscire dal sistema collettivo per crearne di propri. Dall’altra parte, la copertura non può tradursi in un mero rimborso a piedilista (verrebbe meno in tal caso ogni incentivo a controllare i costi da parte delle utilities</w:t>
      </w:r>
      <w:r w:rsidR="00344863">
        <w:t>)</w:t>
      </w:r>
      <w:r>
        <w:t xml:space="preserve">. </w:t>
      </w:r>
      <w:r w:rsidR="004045C9">
        <w:t>Dal canto suo, il nuovo Regolamento 2025/40 prevede che i contributi versati ai sistemi EPR tengano conto dell’effettivo potenziale di riciclo degli imballaggi immessi al consumo.</w:t>
      </w:r>
      <w:r w:rsidR="00036C85">
        <w:t xml:space="preserve"> Una possibile soluzione, a nostro parere, potrebbe essere quella di applicare il CAC a diversi stadi della produzione, es. aggiungendo alla quota oggi versata dai produttori ulteriori quote versate da utilizzatori e distributori.</w:t>
      </w:r>
    </w:p>
    <w:p w14:paraId="6C7B9817" w14:textId="77777777" w:rsidR="00110B18" w:rsidRDefault="00110B18" w:rsidP="00110B18">
      <w:r>
        <w:t>Sul lato dell’offerta, il mercato del riciclo è considerato in genere altamente concorrenziale. Le aziende che raccolgono i rifiuti in modo differenziato (M1) hanno l’opzione di provvedere autonomamente alla loro valorizzazione, e in quel caso si accollano il rischio di mercato; oppure possono conferire i materiali raccolti ai sistemi di filiera al prezzo fissato dall’accordo nazionale.</w:t>
      </w:r>
    </w:p>
    <w:p w14:paraId="1EAD26D9" w14:textId="77777777" w:rsidR="00800347" w:rsidRDefault="00110B18" w:rsidP="00110B18">
      <w:r>
        <w:t>Si stima che circa metà degli imballaggi raccolti sia conferita ai consorzi, con percentuali variabili a seconda del materiale. La quota che viene intercettata dai consorzi deve ricevere fasi di trattamento aggiuntivo prima di raggiungere la cosiddetta</w:t>
      </w:r>
      <w:r w:rsidR="004045C9">
        <w:t xml:space="preserve"> </w:t>
      </w:r>
      <w:r w:rsidR="004045C9" w:rsidRPr="004045C9">
        <w:rPr>
          <w:i/>
          <w:iCs/>
        </w:rPr>
        <w:t>end-of-waste</w:t>
      </w:r>
      <w:r>
        <w:t xml:space="preserve">. Ciò è particolarmente vero nel caso della plastica.   </w:t>
      </w:r>
    </w:p>
    <w:p w14:paraId="356100AA" w14:textId="70A351A0" w:rsidR="00110B18" w:rsidRDefault="00110B18" w:rsidP="00110B18">
      <w:r>
        <w:t xml:space="preserve">L’organizzazione, pur con specificità settoriali, è simile. I consorzi di filiera facenti parte del sistema CONAI – uno per ciascun materiale – predispongono una </w:t>
      </w:r>
      <w:proofErr w:type="gramStart"/>
      <w:r>
        <w:t>capillare  rete</w:t>
      </w:r>
      <w:proofErr w:type="gramEnd"/>
      <w:r>
        <w:t xml:space="preserve"> di centri di smistamento e raccolta, distribuiti </w:t>
      </w:r>
      <w:r>
        <w:lastRenderedPageBreak/>
        <w:t>sul territorio. Qui i gestori del SGRU conferiscono quanto raccolto. Questi centri accertano la qualità del materiale conferito e definiscono quindi il regime di prezzo applicabile in funzione dell’accordo quadro nazionale. La gestione di questi centri viene affidata da ciascun consorzio tramite procedure ad evidenza pubblica.</w:t>
      </w:r>
    </w:p>
    <w:p w14:paraId="571108CE" w14:textId="7E057689" w:rsidR="00443405" w:rsidRDefault="00110B18" w:rsidP="00D75923">
      <w:r>
        <w:t xml:space="preserve">Successivamente, i materiali raccolti vengono affidati alle imprese che effettuano i trattamenti necessari per raggiungere la cosiddetta </w:t>
      </w:r>
      <w:r w:rsidRPr="008874C3">
        <w:rPr>
          <w:i/>
          <w:iCs/>
        </w:rPr>
        <w:t>end of waste</w:t>
      </w:r>
      <w:r>
        <w:t xml:space="preserve">, ossia la declassificazione da rifiuto; a questo provvede un vivace mercato strutturato tramite aste periodiche, </w:t>
      </w:r>
      <w:r w:rsidR="00443405">
        <w:t xml:space="preserve">per partecipare alle quali occorre un accreditamento. </w:t>
      </w:r>
    </w:p>
    <w:p w14:paraId="114F1646" w14:textId="43E25567" w:rsidR="00CE28F7" w:rsidRDefault="00443405" w:rsidP="00D75923">
      <w:r>
        <w:t xml:space="preserve">Non disponiamo di un quadro riassuntivo delle aste, che </w:t>
      </w:r>
      <w:r w:rsidR="00FF36FD">
        <w:t xml:space="preserve">in base alle informazioni in nostro possesso sembrano essere sufficientemente aperte e competitive. Il numero di soggetti partecipanti cambia in funzione dei materiali e delle fasi di trattamento </w:t>
      </w:r>
      <w:proofErr w:type="spellStart"/>
      <w:r w:rsidR="00FF36FD">
        <w:t>dichieste</w:t>
      </w:r>
      <w:proofErr w:type="spellEnd"/>
      <w:r w:rsidR="00FF36FD">
        <w:t xml:space="preserve"> e va da qualche decina a qualche centinaio. Il terminale finale sono impianti adibiti alla produzione dei materiali da reimmettere in commercio (acciaierie, vetrerie, cartiere, </w:t>
      </w:r>
      <w:proofErr w:type="spellStart"/>
      <w:r w:rsidR="00FF36FD">
        <w:t>pannellifici</w:t>
      </w:r>
      <w:proofErr w:type="spellEnd"/>
      <w:r w:rsidR="00FF36FD">
        <w:t>)</w:t>
      </w:r>
      <w:r w:rsidR="00157B41">
        <w:t>.</w:t>
      </w:r>
    </w:p>
    <w:p w14:paraId="68BF51DC" w14:textId="3A4A8C44" w:rsidR="00520524" w:rsidRPr="00140FE2" w:rsidRDefault="00520524" w:rsidP="000419E4">
      <w:pPr>
        <w:pStyle w:val="Titolo2"/>
      </w:pPr>
      <w:r w:rsidRPr="00140FE2">
        <w:t>La regolazione ARERA</w:t>
      </w:r>
    </w:p>
    <w:p w14:paraId="0E5062B7" w14:textId="75D0335D" w:rsidR="00E728F8" w:rsidRPr="00E728F8" w:rsidRDefault="00E728F8" w:rsidP="003331D2">
      <w:pPr>
        <w:pStyle w:val="Titolo3"/>
      </w:pPr>
      <w:r>
        <w:t>Il “metodo tariffario rifiuti” (MTR) nei primi due periodi regolatori</w:t>
      </w:r>
    </w:p>
    <w:p w14:paraId="44C6DDDF" w14:textId="5766530E" w:rsidR="002A5047" w:rsidRDefault="002A5047" w:rsidP="002A5047">
      <w:r>
        <w:t xml:space="preserve">Nel par. precedente si è visto come l’evoluzione del mercato verso un modello verticalmente integrato e il parallelo sviluppo di sistemi </w:t>
      </w:r>
      <w:r w:rsidR="00157B41">
        <w:t xml:space="preserve">EPR </w:t>
      </w:r>
      <w:r>
        <w:t xml:space="preserve">di tipo monopolistico abbia determinato condizioni nel complesso poco favorevoli alla concorrenza. Da qui l’esigenza, da molti avvertita già all’indomani dell’approvazione del Dlgs 22/97, di istituire un sistema di regolazione modellato su quello delle altre </w:t>
      </w:r>
      <w:r w:rsidRPr="00157B41">
        <w:rPr>
          <w:i/>
          <w:iCs/>
        </w:rPr>
        <w:t>utility</w:t>
      </w:r>
      <w:r>
        <w:t xml:space="preserve"> a rete.</w:t>
      </w:r>
      <w:r w:rsidR="00157B41">
        <w:t xml:space="preserve"> Questo auspicio si è finalmente concretizzato nella l. 205/2017, che ha attribuito ad ARERA ampie competenze. Fino ad allora, le uniche norme riguardanti i corrispettivi per il SGRU erano quelle contenute nel “metodo normalizzato”</w:t>
      </w:r>
      <w:r w:rsidR="006C4949">
        <w:t xml:space="preserve"> di cui al Dpr 158/99.</w:t>
      </w:r>
    </w:p>
    <w:p w14:paraId="5AFBDD50" w14:textId="06770616" w:rsidR="00C70A8C" w:rsidRDefault="00DC1E8F" w:rsidP="00DC1E8F">
      <w:r>
        <w:t xml:space="preserve">Nel primo </w:t>
      </w:r>
      <w:r w:rsidR="00C12D9A">
        <w:t>quadriennio</w:t>
      </w:r>
      <w:r>
        <w:t xml:space="preserve"> (2018-202</w:t>
      </w:r>
      <w:r w:rsidR="00286F9E">
        <w:t>1</w:t>
      </w:r>
      <w:r>
        <w:t xml:space="preserve">) ARERA ha </w:t>
      </w:r>
      <w:r w:rsidR="00C70A8C">
        <w:t>ritenuto prioritario concentrarsi sulla definizione dell’importo totale del corrispettivo, rinviando a un momento successivo il tema della struttura della tariffa applicata agli utenti</w:t>
      </w:r>
      <w:r>
        <w:t xml:space="preserve">. </w:t>
      </w:r>
    </w:p>
    <w:p w14:paraId="6AF7EE09" w14:textId="1B6C2D39" w:rsidR="00DC1E8F" w:rsidRDefault="00C70A8C" w:rsidP="00DC1E8F">
      <w:r>
        <w:t>A questo scopo ha</w:t>
      </w:r>
      <w:r w:rsidR="00DC1E8F">
        <w:t xml:space="preserve"> definito uno schema di rendicontazione dei costi ammessi alla copertura tariffaria, individuando le principali attività di cui il </w:t>
      </w:r>
      <w:r w:rsidR="00157B41">
        <w:t>“</w:t>
      </w:r>
      <w:r w:rsidR="00DC1E8F">
        <w:t xml:space="preserve">servizio </w:t>
      </w:r>
      <w:r w:rsidR="00157B41">
        <w:t xml:space="preserve">integrato” </w:t>
      </w:r>
      <w:r w:rsidR="00DC1E8F">
        <w:t xml:space="preserve">si compone </w:t>
      </w:r>
      <w:r w:rsidR="00157B41">
        <w:t xml:space="preserve">in base alla lettera del TU ambientale </w:t>
      </w:r>
      <w:r w:rsidR="00DC1E8F">
        <w:t>(tab</w:t>
      </w:r>
      <w:r w:rsidR="00C12D9A">
        <w:t>.</w:t>
      </w:r>
      <w:r w:rsidR="008B2DE7">
        <w:t xml:space="preserve"> </w:t>
      </w:r>
      <w:r w:rsidR="003139F7">
        <w:t>4</w:t>
      </w:r>
      <w:r w:rsidR="00753773">
        <w:t>).</w:t>
      </w:r>
      <w:r w:rsidR="00157B41">
        <w:t xml:space="preserve"> L’articolazione ricalca quella già adottata in precedenza nel “metodo normalizzato</w:t>
      </w:r>
      <w:proofErr w:type="gramStart"/>
      <w:r w:rsidR="00157B41">
        <w:t>” ,</w:t>
      </w:r>
      <w:proofErr w:type="gramEnd"/>
      <w:r w:rsidR="00157B41">
        <w:t xml:space="preserve"> se non fosse che ARERA fornisce ora una definizione puntuale dei contenuti di ciascuna.</w:t>
      </w:r>
    </w:p>
    <w:p w14:paraId="2E33D4C0" w14:textId="127248E0" w:rsidR="00DC1E8F" w:rsidRDefault="00DC1E8F" w:rsidP="00962A07">
      <w:pPr>
        <w:pStyle w:val="Titolofigureetabelle"/>
      </w:pPr>
      <w:r>
        <w:t xml:space="preserve">Tabella </w:t>
      </w:r>
      <w:r w:rsidR="003139F7">
        <w:t>4</w:t>
      </w:r>
      <w:r>
        <w:t xml:space="preserve"> – Attività che rientrano nel perimetro del servizio regolato</w:t>
      </w:r>
      <w:r w:rsidR="00CB5350">
        <w:t xml:space="preserve"> sulla base della regolazione ARERA</w:t>
      </w:r>
    </w:p>
    <w:tbl>
      <w:tblPr>
        <w:tblStyle w:val="Grigliatabella"/>
        <w:tblW w:w="0" w:type="auto"/>
        <w:tblLook w:val="04A0" w:firstRow="1" w:lastRow="0" w:firstColumn="1" w:lastColumn="0" w:noHBand="0" w:noVBand="1"/>
      </w:tblPr>
      <w:tblGrid>
        <w:gridCol w:w="1980"/>
        <w:gridCol w:w="7648"/>
      </w:tblGrid>
      <w:tr w:rsidR="00DC1E8F" w14:paraId="4322DD8D" w14:textId="77777777" w:rsidTr="00DC1E8F">
        <w:tc>
          <w:tcPr>
            <w:tcW w:w="1980" w:type="dxa"/>
          </w:tcPr>
          <w:p w14:paraId="14F329AD" w14:textId="62F9B760" w:rsidR="00DC1E8F" w:rsidRDefault="00DC1E8F" w:rsidP="000E0545">
            <w:pPr>
              <w:pStyle w:val="Testotabella"/>
            </w:pPr>
            <w:r>
              <w:t>Attività</w:t>
            </w:r>
          </w:p>
        </w:tc>
        <w:tc>
          <w:tcPr>
            <w:tcW w:w="7648" w:type="dxa"/>
          </w:tcPr>
          <w:p w14:paraId="4F9285C6" w14:textId="2E150D7B" w:rsidR="00DC1E8F" w:rsidRDefault="00DC1E8F" w:rsidP="000E0545">
            <w:pPr>
              <w:pStyle w:val="Testotabella"/>
            </w:pPr>
            <w:r>
              <w:t>Descrizione</w:t>
            </w:r>
          </w:p>
        </w:tc>
      </w:tr>
      <w:tr w:rsidR="00DC1E8F" w14:paraId="515B7ADA" w14:textId="77777777" w:rsidTr="00DC1E8F">
        <w:tc>
          <w:tcPr>
            <w:tcW w:w="1980" w:type="dxa"/>
          </w:tcPr>
          <w:p w14:paraId="2B9A3980" w14:textId="48993EA4" w:rsidR="00DC1E8F" w:rsidRDefault="00DC1E8F" w:rsidP="000E0545">
            <w:pPr>
              <w:pStyle w:val="Testotabella"/>
            </w:pPr>
            <w:r>
              <w:t>CRT</w:t>
            </w:r>
          </w:p>
        </w:tc>
        <w:tc>
          <w:tcPr>
            <w:tcW w:w="7648" w:type="dxa"/>
          </w:tcPr>
          <w:p w14:paraId="569C9DB8" w14:textId="15934829" w:rsidR="00DC1E8F" w:rsidRPr="00B90C30" w:rsidRDefault="00DC1E8F" w:rsidP="000E0545">
            <w:pPr>
              <w:pStyle w:val="Testotabella"/>
            </w:pPr>
            <w:r w:rsidRPr="00B90C30">
              <w:t>Raccolta del rifiuto indifferenziato e suo trasporto fino al sito di trattamento</w:t>
            </w:r>
          </w:p>
        </w:tc>
      </w:tr>
      <w:tr w:rsidR="00DC1E8F" w14:paraId="360FFD74" w14:textId="77777777" w:rsidTr="00DC1E8F">
        <w:tc>
          <w:tcPr>
            <w:tcW w:w="1980" w:type="dxa"/>
          </w:tcPr>
          <w:p w14:paraId="70A1A515" w14:textId="01AAD128" w:rsidR="00DC1E8F" w:rsidRDefault="00DC1E8F" w:rsidP="000E0545">
            <w:pPr>
              <w:pStyle w:val="Testotabella"/>
            </w:pPr>
            <w:r>
              <w:t>CRD</w:t>
            </w:r>
          </w:p>
        </w:tc>
        <w:tc>
          <w:tcPr>
            <w:tcW w:w="7648" w:type="dxa"/>
          </w:tcPr>
          <w:p w14:paraId="0447157D" w14:textId="47C7D2BA" w:rsidR="00DC1E8F" w:rsidRPr="00B90C30" w:rsidRDefault="00DC1E8F" w:rsidP="000E0545">
            <w:pPr>
              <w:pStyle w:val="Testotabella"/>
            </w:pPr>
            <w:r w:rsidRPr="00B90C30">
              <w:t>Raccolta differenziata delle frazioni oggetto di selezione</w:t>
            </w:r>
          </w:p>
        </w:tc>
      </w:tr>
      <w:tr w:rsidR="00DC1E8F" w14:paraId="60E52317" w14:textId="77777777" w:rsidTr="00DC1E8F">
        <w:tc>
          <w:tcPr>
            <w:tcW w:w="1980" w:type="dxa"/>
          </w:tcPr>
          <w:p w14:paraId="3BD84A34" w14:textId="06378E05" w:rsidR="00DC1E8F" w:rsidRDefault="00DC1E8F" w:rsidP="000E0545">
            <w:pPr>
              <w:pStyle w:val="Testotabella"/>
            </w:pPr>
            <w:r>
              <w:t>CTS</w:t>
            </w:r>
          </w:p>
        </w:tc>
        <w:tc>
          <w:tcPr>
            <w:tcW w:w="7648" w:type="dxa"/>
          </w:tcPr>
          <w:p w14:paraId="73A375A5" w14:textId="07F92F24" w:rsidR="00DC1E8F" w:rsidRPr="00B90C30" w:rsidRDefault="00DC1E8F" w:rsidP="000E0545">
            <w:pPr>
              <w:pStyle w:val="Testotabella"/>
            </w:pPr>
            <w:r w:rsidRPr="00B90C30">
              <w:t>Trattamento e smaltimento finale del rifiuto indifferenziato</w:t>
            </w:r>
          </w:p>
        </w:tc>
      </w:tr>
      <w:tr w:rsidR="00DC1E8F" w14:paraId="04C9C7AE" w14:textId="77777777" w:rsidTr="00DC1E8F">
        <w:tc>
          <w:tcPr>
            <w:tcW w:w="1980" w:type="dxa"/>
          </w:tcPr>
          <w:p w14:paraId="71A62160" w14:textId="0C686A8C" w:rsidR="00DC1E8F" w:rsidRDefault="00DC1E8F" w:rsidP="000E0545">
            <w:pPr>
              <w:pStyle w:val="Testotabella"/>
            </w:pPr>
            <w:r>
              <w:t>CTR</w:t>
            </w:r>
          </w:p>
        </w:tc>
        <w:tc>
          <w:tcPr>
            <w:tcW w:w="7648" w:type="dxa"/>
          </w:tcPr>
          <w:p w14:paraId="0D5B5B49" w14:textId="3C1928E5" w:rsidR="00DC1E8F" w:rsidRPr="00B90C30" w:rsidRDefault="00DC1E8F" w:rsidP="000E0545">
            <w:pPr>
              <w:pStyle w:val="Testotabella"/>
            </w:pPr>
            <w:r w:rsidRPr="00B90C30">
              <w:t>Trattamento e recupero di energia e materiali</w:t>
            </w:r>
          </w:p>
        </w:tc>
      </w:tr>
      <w:tr w:rsidR="00DC1E8F" w14:paraId="7FBA3EFE" w14:textId="77777777" w:rsidTr="00DC1E8F">
        <w:tc>
          <w:tcPr>
            <w:tcW w:w="1980" w:type="dxa"/>
          </w:tcPr>
          <w:p w14:paraId="69CEDDC7" w14:textId="3BEF1A84" w:rsidR="00DC1E8F" w:rsidRDefault="00DC1E8F" w:rsidP="000E0545">
            <w:pPr>
              <w:pStyle w:val="Testotabella"/>
            </w:pPr>
            <w:r>
              <w:t>CSL</w:t>
            </w:r>
          </w:p>
        </w:tc>
        <w:tc>
          <w:tcPr>
            <w:tcW w:w="7648" w:type="dxa"/>
          </w:tcPr>
          <w:p w14:paraId="401EFC1A" w14:textId="7BBA1846" w:rsidR="00DC1E8F" w:rsidRPr="00B90C30" w:rsidRDefault="00DC1E8F" w:rsidP="000E0545">
            <w:pPr>
              <w:pStyle w:val="Testotabella"/>
            </w:pPr>
            <w:r w:rsidRPr="00B90C30">
              <w:t>Spazzamento e lavaggio delle strade</w:t>
            </w:r>
          </w:p>
        </w:tc>
      </w:tr>
      <w:tr w:rsidR="00DC1E8F" w14:paraId="4FC0FEF3" w14:textId="77777777" w:rsidTr="00DC1E8F">
        <w:tc>
          <w:tcPr>
            <w:tcW w:w="1980" w:type="dxa"/>
          </w:tcPr>
          <w:p w14:paraId="7F1347C7" w14:textId="0F1DD06B" w:rsidR="00DC1E8F" w:rsidRDefault="00DC1E8F" w:rsidP="000E0545">
            <w:pPr>
              <w:pStyle w:val="Testotabella"/>
            </w:pPr>
            <w:r>
              <w:t>CARC</w:t>
            </w:r>
          </w:p>
        </w:tc>
        <w:tc>
          <w:tcPr>
            <w:tcW w:w="7648" w:type="dxa"/>
          </w:tcPr>
          <w:p w14:paraId="21B59FD2" w14:textId="57851F18" w:rsidR="00DC1E8F" w:rsidRPr="00B90C30" w:rsidRDefault="00DC1E8F" w:rsidP="000E0545">
            <w:pPr>
              <w:pStyle w:val="Testotabella"/>
            </w:pPr>
            <w:r w:rsidRPr="00B90C30">
              <w:t>Accertamento e riscossione dei corrispettivi dagli utenti e contenzioso</w:t>
            </w:r>
          </w:p>
        </w:tc>
      </w:tr>
      <w:tr w:rsidR="006C4949" w14:paraId="728A8AC6" w14:textId="77777777" w:rsidTr="00DC1E8F">
        <w:tc>
          <w:tcPr>
            <w:tcW w:w="1980" w:type="dxa"/>
          </w:tcPr>
          <w:p w14:paraId="281987CB" w14:textId="6777AC39" w:rsidR="006C4949" w:rsidRDefault="006C4949" w:rsidP="000E0545">
            <w:pPr>
              <w:pStyle w:val="Testotabella"/>
            </w:pPr>
            <w:r>
              <w:t>CGG</w:t>
            </w:r>
          </w:p>
        </w:tc>
        <w:tc>
          <w:tcPr>
            <w:tcW w:w="7648" w:type="dxa"/>
          </w:tcPr>
          <w:p w14:paraId="767B481D" w14:textId="6EE177D7" w:rsidR="006C4949" w:rsidRPr="00B90C30" w:rsidRDefault="006C4949" w:rsidP="000E0545">
            <w:pPr>
              <w:pStyle w:val="Testotabella"/>
            </w:pPr>
            <w:r>
              <w:t>Costi generali</w:t>
            </w:r>
          </w:p>
        </w:tc>
      </w:tr>
      <w:tr w:rsidR="006C4949" w14:paraId="75724341" w14:textId="77777777" w:rsidTr="00DC1E8F">
        <w:tc>
          <w:tcPr>
            <w:tcW w:w="1980" w:type="dxa"/>
          </w:tcPr>
          <w:p w14:paraId="41A11ED4" w14:textId="244EA52D" w:rsidR="006C4949" w:rsidRDefault="006C4949" w:rsidP="000E0545">
            <w:pPr>
              <w:pStyle w:val="Testotabella"/>
            </w:pPr>
            <w:r>
              <w:t>CCD</w:t>
            </w:r>
          </w:p>
        </w:tc>
        <w:tc>
          <w:tcPr>
            <w:tcW w:w="7648" w:type="dxa"/>
          </w:tcPr>
          <w:p w14:paraId="5D287DE3" w14:textId="7393D84F" w:rsidR="006C4949" w:rsidRDefault="006C4949" w:rsidP="000E0545">
            <w:pPr>
              <w:pStyle w:val="Testotabella"/>
            </w:pPr>
            <w:r>
              <w:t>Costi per perdite su crediti</w:t>
            </w:r>
          </w:p>
        </w:tc>
      </w:tr>
      <w:tr w:rsidR="006C4949" w14:paraId="545A11CF" w14:textId="77777777" w:rsidTr="00DC1E8F">
        <w:tc>
          <w:tcPr>
            <w:tcW w:w="1980" w:type="dxa"/>
          </w:tcPr>
          <w:p w14:paraId="426CF505" w14:textId="646B9A7C" w:rsidR="006C4949" w:rsidRDefault="006C4949" w:rsidP="000E0545">
            <w:pPr>
              <w:pStyle w:val="Testotabella"/>
            </w:pPr>
            <w:r>
              <w:t>COAL</w:t>
            </w:r>
          </w:p>
        </w:tc>
        <w:tc>
          <w:tcPr>
            <w:tcW w:w="7648" w:type="dxa"/>
          </w:tcPr>
          <w:p w14:paraId="69008779" w14:textId="611CBD00" w:rsidR="006C4949" w:rsidRDefault="006C4949" w:rsidP="000E0545">
            <w:pPr>
              <w:pStyle w:val="Testotabella"/>
            </w:pPr>
            <w:r>
              <w:t>Oneri di sistema e canoni corrisposti ad altri enti pubblici</w:t>
            </w:r>
          </w:p>
        </w:tc>
      </w:tr>
      <w:tr w:rsidR="000D3D63" w14:paraId="21047DB3" w14:textId="77777777" w:rsidTr="00DC1E8F">
        <w:tc>
          <w:tcPr>
            <w:tcW w:w="1980" w:type="dxa"/>
          </w:tcPr>
          <w:p w14:paraId="7DF06AD6" w14:textId="565A1798" w:rsidR="000D3D63" w:rsidRDefault="000D3D63" w:rsidP="000E0545">
            <w:pPr>
              <w:pStyle w:val="Testotabella"/>
            </w:pPr>
            <w:r>
              <w:t>CK</w:t>
            </w:r>
          </w:p>
        </w:tc>
        <w:tc>
          <w:tcPr>
            <w:tcW w:w="7648" w:type="dxa"/>
          </w:tcPr>
          <w:p w14:paraId="0B3F9359" w14:textId="09C8753F" w:rsidR="000D3D63" w:rsidRPr="00B90C30" w:rsidRDefault="000D3D63" w:rsidP="000E0545">
            <w:pPr>
              <w:pStyle w:val="Testotabella"/>
            </w:pPr>
            <w:r w:rsidRPr="00B90C30">
              <w:t>Ammortamenti, oneri finanziari e accantonamenti</w:t>
            </w:r>
          </w:p>
        </w:tc>
      </w:tr>
    </w:tbl>
    <w:p w14:paraId="76BAE143" w14:textId="25DBFF33" w:rsidR="00DC1E8F" w:rsidRPr="00E40007" w:rsidRDefault="00286F9E" w:rsidP="00962A07">
      <w:pPr>
        <w:pStyle w:val="Finefiguraetabella"/>
        <w:rPr>
          <w:lang w:val="it-IT"/>
        </w:rPr>
      </w:pPr>
      <w:r>
        <w:rPr>
          <w:lang w:val="it-IT"/>
        </w:rPr>
        <w:t>Fonte: ARERA, 20</w:t>
      </w:r>
      <w:r w:rsidR="00800347">
        <w:rPr>
          <w:lang w:val="it-IT"/>
        </w:rPr>
        <w:t>19</w:t>
      </w:r>
    </w:p>
    <w:p w14:paraId="6253F912" w14:textId="3D64FDF9" w:rsidR="00A1320D" w:rsidRDefault="00A1320D" w:rsidP="00DC1E8F">
      <w:r>
        <w:t>I costi così individuati</w:t>
      </w:r>
      <w:r w:rsidR="000D3D63">
        <w:t xml:space="preserve"> </w:t>
      </w:r>
      <w:r w:rsidR="001B658D">
        <w:t xml:space="preserve">tramite le fonti contabili </w:t>
      </w:r>
      <w:r w:rsidR="000D3D63">
        <w:t>in ciascun anno a</w:t>
      </w:r>
      <w:r w:rsidR="00286F9E">
        <w:t>-2</w:t>
      </w:r>
      <w:r>
        <w:t xml:space="preserve">, aggiornati </w:t>
      </w:r>
      <w:r w:rsidR="00B7264C">
        <w:t>per</w:t>
      </w:r>
      <w:r>
        <w:t xml:space="preserve"> l’inflazione, sono considerati i “costi ammissibili”</w:t>
      </w:r>
      <w:r w:rsidR="000D3D63">
        <w:t xml:space="preserve"> per l’anno a, e formano la base per determinare le “entrate tariffarie di </w:t>
      </w:r>
      <w:r w:rsidR="000D3D63">
        <w:lastRenderedPageBreak/>
        <w:t xml:space="preserve">riferimento”. Le entrate che il gestore consegue dalla commercializzazione dei sottoprodotti (energia, biogas, compost, materiali destinati al riciclo) vengono </w:t>
      </w:r>
      <w:r w:rsidR="00CB5350">
        <w:t>dedotte dai costi ammissibili</w:t>
      </w:r>
      <w:r w:rsidR="000D3D63">
        <w:t>, ma solo per una parte (</w:t>
      </w:r>
      <w:r w:rsidR="000D3D63" w:rsidRPr="000D3D63">
        <w:rPr>
          <w:i/>
          <w:iCs/>
        </w:rPr>
        <w:t>profit-sharing</w:t>
      </w:r>
      <w:r w:rsidR="000D3D63">
        <w:t>), nell’intento di fornire un incentivo al gestore nel massimizzare tali proventi.</w:t>
      </w:r>
    </w:p>
    <w:p w14:paraId="0107398A" w14:textId="268B8A2F" w:rsidR="00987474" w:rsidRDefault="00753773" w:rsidP="00DC1E8F">
      <w:r>
        <w:t>Tutti i</w:t>
      </w:r>
      <w:r w:rsidR="00987474">
        <w:t xml:space="preserve"> costi </w:t>
      </w:r>
      <w:r w:rsidR="00C3126C">
        <w:t xml:space="preserve">operativi </w:t>
      </w:r>
      <w:r>
        <w:t xml:space="preserve">sono rilevati </w:t>
      </w:r>
      <w:r w:rsidR="00987474">
        <w:t>a consuntivo</w:t>
      </w:r>
      <w:r w:rsidR="00C3126C">
        <w:t xml:space="preserve">. Quelli </w:t>
      </w:r>
      <w:r w:rsidR="00987474">
        <w:t xml:space="preserve">di capitale </w:t>
      </w:r>
      <w:r w:rsidR="00C3126C">
        <w:t>partono dal valore storico dei cespiti, rivalutato al nuovo e ammortizzandoli secondo vite utili coerenti con quella effettiva. L</w:t>
      </w:r>
      <w:r w:rsidR="00987474">
        <w:t xml:space="preserve">’unico elemento “standard” </w:t>
      </w:r>
      <w:r w:rsidR="00C3126C">
        <w:t xml:space="preserve">è </w:t>
      </w:r>
      <w:r w:rsidR="00987474">
        <w:t>rappresentato dalla remunerazione del capitale investito</w:t>
      </w:r>
      <w:r w:rsidR="00292009">
        <w:t xml:space="preserve">, per la quale si segue una logica di </w:t>
      </w:r>
      <w:r w:rsidR="00292009" w:rsidRPr="00292009">
        <w:rPr>
          <w:i/>
          <w:iCs/>
        </w:rPr>
        <w:t>fair rate of return</w:t>
      </w:r>
      <w:r w:rsidR="00292009">
        <w:t xml:space="preserve"> stimato </w:t>
      </w:r>
      <w:r w:rsidR="00C3126C">
        <w:t>con</w:t>
      </w:r>
      <w:r w:rsidR="00292009">
        <w:t xml:space="preserve"> il noto </w:t>
      </w:r>
      <w:r>
        <w:t>metodo</w:t>
      </w:r>
      <w:r w:rsidR="00292009">
        <w:t xml:space="preserve"> del costo medio ponderato del capitale (WACC).</w:t>
      </w:r>
      <w:r w:rsidR="006C4949">
        <w:t xml:space="preserve"> </w:t>
      </w:r>
    </w:p>
    <w:p w14:paraId="38A695C8" w14:textId="09B3E7B0" w:rsidR="00292009" w:rsidRDefault="00292009" w:rsidP="00DC1E8F">
      <w:r>
        <w:t>Tramite la contabilità regolatoria, i dati di bilancio vengono scomposti in modo da attribuirli alle attività regolate e ad eventuali altre attività non regolate; i costi comuni sono ripartiti su base parametrica.</w:t>
      </w:r>
      <w:r w:rsidR="006C4949">
        <w:t xml:space="preserve"> Stranamente, questa scomposizione è richiesta per i soli costi operativi, e non per quelli di capitale.</w:t>
      </w:r>
    </w:p>
    <w:p w14:paraId="1FB4C2D8" w14:textId="02E07F9B" w:rsidR="00CB1C6B" w:rsidRDefault="00CB1C6B" w:rsidP="00DC1E8F">
      <w:r>
        <w:t>L’</w:t>
      </w:r>
      <w:r w:rsidR="00671375">
        <w:t>ETC</w:t>
      </w:r>
      <w:r>
        <w:t xml:space="preserve">, dopo avere </w:t>
      </w:r>
      <w:r w:rsidR="00286F9E">
        <w:t xml:space="preserve">accertato </w:t>
      </w:r>
      <w:r w:rsidR="00C3126C">
        <w:t xml:space="preserve">l’appropriatezza dei criteri di contabilità industriale e </w:t>
      </w:r>
      <w:r w:rsidR="00286F9E">
        <w:t>la veridicità</w:t>
      </w:r>
      <w:r>
        <w:t xml:space="preserve"> </w:t>
      </w:r>
      <w:r w:rsidR="00286F9E">
        <w:t>de</w:t>
      </w:r>
      <w:r>
        <w:t>gli importi trasmessi dal gestore</w:t>
      </w:r>
      <w:r w:rsidR="00286F9E">
        <w:t xml:space="preserve"> (c.d. “validazione”)</w:t>
      </w:r>
      <w:r>
        <w:t>, ha la facoltà di decurtarne una parte, qualora possa motivar</w:t>
      </w:r>
      <w:r w:rsidR="00EC5CD9">
        <w:t>n</w:t>
      </w:r>
      <w:r>
        <w:t>e la ridondanza rispetto a quanto necessario a garantire l’equilibrio economico-finanziario.</w:t>
      </w:r>
      <w:r w:rsidR="00292009">
        <w:t xml:space="preserve"> </w:t>
      </w:r>
    </w:p>
    <w:p w14:paraId="5AB276C8" w14:textId="3246BB9A" w:rsidR="00292009" w:rsidRDefault="0064772E" w:rsidP="00DC1E8F">
      <w:r>
        <w:t xml:space="preserve">I corrispettivi </w:t>
      </w:r>
      <w:r w:rsidR="00E728F8">
        <w:t xml:space="preserve">totali </w:t>
      </w:r>
      <w:r>
        <w:t xml:space="preserve">massimi applicabili, in compenso, dipendono dall’applicazione </w:t>
      </w:r>
      <w:r w:rsidR="00E728F8">
        <w:t xml:space="preserve">di un limite </w:t>
      </w:r>
      <w:r w:rsidR="00286F9E">
        <w:t>all’</w:t>
      </w:r>
      <w:r w:rsidR="00E728F8">
        <w:t>incremento massimo</w:t>
      </w:r>
      <w:r>
        <w:t xml:space="preserve"> alle entrate tariffarie effettive dell’anno precedente</w:t>
      </w:r>
      <w:r w:rsidR="00B7264C">
        <w:t>. La formula parte dal tasso di inflazione programmata, decurtato di un coefficiente di recupero minimo di produttività</w:t>
      </w:r>
      <w:r w:rsidR="00BC62EB">
        <w:t xml:space="preserve"> (variabile in funzione di una serie di parametri riferiti sia al confronto con benchmark efficienti sia alla qualità del servizio)</w:t>
      </w:r>
      <w:r w:rsidR="00B7264C">
        <w:t xml:space="preserve">, e incrementato di una componente di </w:t>
      </w:r>
      <w:r w:rsidR="00B7264C" w:rsidRPr="00CB5350">
        <w:rPr>
          <w:i/>
          <w:iCs/>
        </w:rPr>
        <w:t>cost pass-through</w:t>
      </w:r>
      <w:r w:rsidR="00B7264C">
        <w:t xml:space="preserve"> nell’eventualità di variazioni di perimetro (nuovi servizi) o miglioramento della qualità di servizi esistenti (es. maggiore frequenza delle raccolte, maggiori superfici spazzate). </w:t>
      </w:r>
    </w:p>
    <w:p w14:paraId="767374D7" w14:textId="178986E0" w:rsidR="0064772E" w:rsidRDefault="00292009" w:rsidP="00DC1E8F">
      <w:r>
        <w:t xml:space="preserve">L’eventuale differenza risultante tra </w:t>
      </w:r>
      <w:r w:rsidR="00662808">
        <w:t xml:space="preserve">le </w:t>
      </w:r>
      <w:r>
        <w:t xml:space="preserve">entrate di riferimento e </w:t>
      </w:r>
      <w:r w:rsidR="00662808">
        <w:t>quelle</w:t>
      </w:r>
      <w:r>
        <w:t xml:space="preserve"> massim</w:t>
      </w:r>
      <w:r w:rsidR="00662808">
        <w:t>e</w:t>
      </w:r>
      <w:r>
        <w:t xml:space="preserve"> applicabil</w:t>
      </w:r>
      <w:r w:rsidR="00662808">
        <w:t>i</w:t>
      </w:r>
      <w:r>
        <w:t xml:space="preserve"> nel rispetto del price-cap </w:t>
      </w:r>
      <w:r w:rsidR="00662808">
        <w:t>(il cosiddetto “delta”)</w:t>
      </w:r>
      <w:r>
        <w:t xml:space="preserve">, su richiesta del gestore e a discrezione dell’ETC, </w:t>
      </w:r>
      <w:r w:rsidR="00662808">
        <w:t xml:space="preserve">può (ma non necessariamente deve) </w:t>
      </w:r>
      <w:r>
        <w:t>essere trasferit</w:t>
      </w:r>
      <w:r w:rsidR="00753773">
        <w:t>a</w:t>
      </w:r>
      <w:r>
        <w:t xml:space="preserve"> agli anni successivi sommandosi ai costi ammissibili; l’effettivo riconoscimento dipende dalla capienza dei price-cap futuri. </w:t>
      </w:r>
      <w:r w:rsidR="00C7412B">
        <w:t>L</w:t>
      </w:r>
      <w:r w:rsidR="00E147AD">
        <w:t>’ETC ha la facoltà di richiedere un incremento maggiore del price-cap (entro il limite massimo delle entrate di riferimento), qualora ravvis</w:t>
      </w:r>
      <w:r w:rsidR="003E58A2">
        <w:t>asse</w:t>
      </w:r>
      <w:r w:rsidR="00E147AD">
        <w:t xml:space="preserve"> che il rispetto </w:t>
      </w:r>
      <w:r w:rsidR="00127F34">
        <w:t>del</w:t>
      </w:r>
      <w:r w:rsidR="00E147AD">
        <w:t xml:space="preserve"> limite </w:t>
      </w:r>
      <w:r w:rsidR="003E58A2">
        <w:t xml:space="preserve">impedisca di raggiungere </w:t>
      </w:r>
      <w:r w:rsidR="00E147AD">
        <w:t>l’equilibrio economico-finanziario.</w:t>
      </w:r>
      <w:r w:rsidR="003E58A2">
        <w:t xml:space="preserve"> In ogni caso l’approvazione finale spetta al</w:t>
      </w:r>
      <w:r w:rsidR="00C7412B">
        <w:t>l’Autorità</w:t>
      </w:r>
      <w:r w:rsidR="003E58A2">
        <w:t xml:space="preserve"> nazionale.</w:t>
      </w:r>
    </w:p>
    <w:p w14:paraId="5C0E15AF" w14:textId="1A9DED22" w:rsidR="00662808" w:rsidRDefault="00662808" w:rsidP="00662808">
      <w:r>
        <w:t xml:space="preserve">Questo </w:t>
      </w:r>
      <w:r w:rsidR="003A0B62">
        <w:t>regime</w:t>
      </w:r>
      <w:r>
        <w:t xml:space="preserve"> sottende diverse finalità. </w:t>
      </w:r>
    </w:p>
    <w:p w14:paraId="676B4FE2" w14:textId="12080AC2" w:rsidR="00662808" w:rsidRDefault="00662808" w:rsidP="00662808">
      <w:r>
        <w:t xml:space="preserve">In primo luogo, esso persegue una più chiara e precisa </w:t>
      </w:r>
      <w:r w:rsidR="00590043">
        <w:t>individuazione</w:t>
      </w:r>
      <w:r>
        <w:t xml:space="preserve"> dei costi riconosciuti. La contabilità regolatoria, in passato definita in maniera vaga e approssimativa, trova ora una </w:t>
      </w:r>
      <w:r w:rsidR="00590043">
        <w:t>dettagliata</w:t>
      </w:r>
      <w:r>
        <w:t xml:space="preserve"> e trasparente rappresentazione, rendendo più difficili i sussidi incrociati e creando i presupposti per una valutazione comparativa dell’efficienza. Le “entrate di riferimento” così determinate rappresentano un primo massimo, non superabile in alcun modo.</w:t>
      </w:r>
    </w:p>
    <w:p w14:paraId="1AE47E20" w14:textId="63D53A8A" w:rsidR="00662808" w:rsidRDefault="00662808" w:rsidP="00662808">
      <w:r>
        <w:t xml:space="preserve">In secondo luogo, tramite il price-cap </w:t>
      </w:r>
      <w:r w:rsidR="00127F34">
        <w:t>si</w:t>
      </w:r>
      <w:r>
        <w:t xml:space="preserve"> mette in moto un processo di efficientamento, potendo il gestore ottenere un profitto solo “battendo” gli incrementi minimi di produttività stabiliti dal regolatore. </w:t>
      </w:r>
    </w:p>
    <w:p w14:paraId="3F91AAF7" w14:textId="4F9A456D" w:rsidR="00662808" w:rsidRDefault="00662808" w:rsidP="00662808">
      <w:r>
        <w:t xml:space="preserve">La tariffa effettivamente applicabile risulta dal minore dei due vincoli. </w:t>
      </w:r>
      <w:r w:rsidR="003A0B62">
        <w:t>Solo</w:t>
      </w:r>
      <w:r>
        <w:t xml:space="preserve"> qualora le tariffe di partenza</w:t>
      </w:r>
      <w:r w:rsidR="003A0B62">
        <w:t xml:space="preserve"> non consentano l’equilibrio economico-finanziario</w:t>
      </w:r>
      <w:r>
        <w:t xml:space="preserve">, si consente in via straordinaria un loro progressivo allineamento ai costi effettivi, scaricando tuttavia sull’ETC </w:t>
      </w:r>
      <w:r w:rsidR="00DD2C86">
        <w:t>la responsabilità</w:t>
      </w:r>
      <w:r>
        <w:t xml:space="preserve"> di richiederlo.</w:t>
      </w:r>
    </w:p>
    <w:p w14:paraId="4AC7501D" w14:textId="2F9CDE51" w:rsidR="00662808" w:rsidRDefault="00662808" w:rsidP="00662808">
      <w:r>
        <w:t>Ulteriori incrementi saranno possibili solo in conseguenza di miglioramenti qualitativi e allargamenti di perimetro. In questo modo si stabilisce una procedura negoziata e trasparente per l’aggiornamento in corso d’opera dei contratti di servizio.</w:t>
      </w:r>
      <w:r w:rsidR="00127F34">
        <w:t xml:space="preserve"> Molte gare prevedono già oggi – e il capitolato-tipo di ARERA generalizza questa pratica – che in sede di offerta vengano richiesti i costi </w:t>
      </w:r>
      <w:r w:rsidR="00397CBB">
        <w:t>unitari a fronte di eventuali richieste di nuovi servizi.</w:t>
      </w:r>
    </w:p>
    <w:p w14:paraId="729C0B52" w14:textId="1E76B671" w:rsidR="00662808" w:rsidRDefault="00662808" w:rsidP="00DC1E8F">
      <w:r>
        <w:lastRenderedPageBreak/>
        <w:t xml:space="preserve">In terzo luogo, </w:t>
      </w:r>
      <w:r w:rsidR="00C7412B">
        <w:t>si</w:t>
      </w:r>
      <w:r>
        <w:t xml:space="preserve"> intende fornire incentivi al raggiungimento degli obiettivi di economia circolare. A questo scopo operano la modulazione dei coefficienti di miglioramento della produttività e soprattutto il </w:t>
      </w:r>
      <w:r w:rsidRPr="00E54BA3">
        <w:rPr>
          <w:i/>
          <w:iCs/>
        </w:rPr>
        <w:t>profit-sharing</w:t>
      </w:r>
      <w:r>
        <w:t xml:space="preserve"> sui ricavi ottenuti dalla valorizzazione dei materiali, </w:t>
      </w:r>
      <w:proofErr w:type="gramStart"/>
      <w:r>
        <w:t>che  consente</w:t>
      </w:r>
      <w:proofErr w:type="gramEnd"/>
      <w:r>
        <w:t xml:space="preserve"> al gestore di trattenere una frazione di questi, mentre i relativi costi sono interamente riconosciuti in tariffa.</w:t>
      </w:r>
    </w:p>
    <w:p w14:paraId="1ACABBD5" w14:textId="0BFDF24E" w:rsidR="00E11185" w:rsidRDefault="00E11185" w:rsidP="00E11185">
      <w:r>
        <w:t xml:space="preserve">Nel periodo regolatorio successivo (2022-2025), mentre le regole di individuazione dei costi ammissibili e degli incrementi tariffari sono rimaste sostanzialmente immutate, ARERA ha avviato un percorso orientato al miglioramento qualitativo, identificando dapprima alcune categorie ritenute più critiche, e successivamente individuando una prima serie di indicatori, riferiti in particolare alla qualità e all’efficienza della raccolta differenziata e alla copertura dei costi di quest’ultima. Nelle intenzioni dichiarate da ARERA, questo rappresenta un primo passo verso l’introduzione di un sistema di regolazione </w:t>
      </w:r>
      <w:r w:rsidRPr="001A4861">
        <w:rPr>
          <w:i/>
          <w:iCs/>
        </w:rPr>
        <w:t>output-based</w:t>
      </w:r>
      <w:r>
        <w:t>, analogo a quello applicato negli altri settori sotto la sua giurisdizione</w:t>
      </w:r>
      <w:r w:rsidR="00800347">
        <w:t xml:space="preserve"> (ARERA, 2021)</w:t>
      </w:r>
      <w:r>
        <w:t>.</w:t>
      </w:r>
    </w:p>
    <w:p w14:paraId="6E94AAED" w14:textId="54B1707B" w:rsidR="00E11185" w:rsidRDefault="00E11185" w:rsidP="00E11185">
      <w:r>
        <w:t>L’imposizione di standard elevati di qualità contrattuale</w:t>
      </w:r>
      <w:r w:rsidR="003A0B62">
        <w:t xml:space="preserve"> e dei conseguenti obblighi di rendicontazione</w:t>
      </w:r>
      <w:r>
        <w:t xml:space="preserve"> </w:t>
      </w:r>
      <w:r w:rsidR="001E4FFA">
        <w:t>ha probabilmente anche lo scopo di forzare il trasferimento ai gestori anche delle funzioni in materia di bollettazione e</w:t>
      </w:r>
      <w:r>
        <w:t xml:space="preserve"> gestione </w:t>
      </w:r>
      <w:r w:rsidR="00971773">
        <w:t>dei rapport</w:t>
      </w:r>
      <w:r w:rsidR="001E4FFA">
        <w:t>, funzionale</w:t>
      </w:r>
      <w:r>
        <w:t xml:space="preserve"> al</w:t>
      </w:r>
      <w:r w:rsidR="001E4FFA">
        <w:t>l’abbandono della TARI e al</w:t>
      </w:r>
      <w:r>
        <w:t xml:space="preserve"> passaggio generalizzato a forme di tariffazione diretta</w:t>
      </w:r>
      <w:r w:rsidR="003A0B62">
        <w:t>.</w:t>
      </w:r>
    </w:p>
    <w:p w14:paraId="6370CEBE" w14:textId="2AD8D7E0" w:rsidR="00C867C7" w:rsidRDefault="00E11185" w:rsidP="003331D2">
      <w:pPr>
        <w:pStyle w:val="Titolo3"/>
      </w:pPr>
      <w:r>
        <w:t>L</w:t>
      </w:r>
      <w:r w:rsidR="00C867C7">
        <w:t>e “tariffe al cancello”</w:t>
      </w:r>
      <w:r w:rsidR="00800347">
        <w:t xml:space="preserve"> e l’identificazione</w:t>
      </w:r>
      <w:r w:rsidR="00383845">
        <w:t xml:space="preserve"> </w:t>
      </w:r>
      <w:r w:rsidR="00800347">
        <w:t>del</w:t>
      </w:r>
      <w:r w:rsidR="00383845">
        <w:t xml:space="preserve">le </w:t>
      </w:r>
      <w:r w:rsidR="00383845" w:rsidRPr="00383845">
        <w:rPr>
          <w:i/>
          <w:iCs/>
        </w:rPr>
        <w:t>essential facilities</w:t>
      </w:r>
    </w:p>
    <w:p w14:paraId="6FC4B354" w14:textId="238A9600" w:rsidR="00E11185" w:rsidRDefault="00E11185" w:rsidP="001739A1">
      <w:r>
        <w:t xml:space="preserve">Come visto nel par. 3, il mercato delle attività di trattamento risulta quanto mai </w:t>
      </w:r>
      <w:r w:rsidR="001A4861">
        <w:t>articolato</w:t>
      </w:r>
      <w:r>
        <w:t>, in modo forse ancora più vistoso che per l’affidamento del SGRU. Convivono infatti realtà “integrate” (impianti di proprietà del soggetto gestore del SGRU), impianti previsti dai piani regionali e in possesso di un monopolio (legale o di fatto) sui flussi originati in prossimità, impianti che operano in un mercato locale in condizioni almeno nominali di concorrenza, impianti che operano sul mercato senza vincoli. Gli stessi impianti possono gestire flussi di origine diversa, e destinare parte della capacità al mercato regolato o a quello libero.</w:t>
      </w:r>
    </w:p>
    <w:p w14:paraId="043949C0" w14:textId="7794477E" w:rsidR="00E11185" w:rsidRDefault="00E11185" w:rsidP="001739A1">
      <w:r>
        <w:t xml:space="preserve">Un’altra tendenza generale </w:t>
      </w:r>
      <w:r w:rsidR="006659D7">
        <w:t xml:space="preserve">è quella di esternalizzare la proprietà degli impianti. Praticamente solo gli impianti di trattamento intermedio (e nemmeno tutti) e qualche discarica </w:t>
      </w:r>
      <w:r w:rsidR="00397CBB">
        <w:t>rientrano</w:t>
      </w:r>
      <w:r w:rsidR="006659D7">
        <w:t xml:space="preserve"> nel</w:t>
      </w:r>
      <w:r w:rsidR="00C70A8C">
        <w:t xml:space="preserve"> regime</w:t>
      </w:r>
      <w:r w:rsidR="006659D7">
        <w:t xml:space="preserve"> “integrat</w:t>
      </w:r>
      <w:r w:rsidR="00C70A8C">
        <w:t>o</w:t>
      </w:r>
      <w:r w:rsidR="006659D7">
        <w:t>” (impianti gestiti da parte del soggetto titolare del SGRU). Tutti gli impianti “a tecnologia complessa”, quand’anche di proprietà di grandi gruppi integrati, operano con ragioni sociali distinte, e percepiscono quindi una “tariffa al cancello” da parte di chi vi conferisce i propri rifiuti, anche se si tratta di imprese facenti capo al medesimo gruppo.</w:t>
      </w:r>
      <w:r w:rsidR="00EA641C">
        <w:t xml:space="preserve"> </w:t>
      </w:r>
    </w:p>
    <w:p w14:paraId="4219D7F9" w14:textId="4601072F" w:rsidR="00B44F59" w:rsidRDefault="00E728F8" w:rsidP="001739A1">
      <w:r>
        <w:t>ARERA ha preso atto di questa realtà, istituendo un regime ad hoc</w:t>
      </w:r>
      <w:r w:rsidR="00800347">
        <w:t xml:space="preserve"> (ARERA, 2021)</w:t>
      </w:r>
      <w:r>
        <w:t xml:space="preserve">. </w:t>
      </w:r>
    </w:p>
    <w:p w14:paraId="530DB536" w14:textId="1F0F066E" w:rsidR="00B44F59" w:rsidRDefault="00E728F8" w:rsidP="001739A1">
      <w:r>
        <w:t>In primo luogo</w:t>
      </w:r>
      <w:r w:rsidR="00B44F59">
        <w:t xml:space="preserve">, la regolazione si applica </w:t>
      </w:r>
      <w:r w:rsidR="009B5E47">
        <w:t xml:space="preserve">solo </w:t>
      </w:r>
      <w:r w:rsidR="00B44F59">
        <w:t xml:space="preserve">agli impianti cui viene riconosciuto lo status di </w:t>
      </w:r>
      <w:r w:rsidR="00B44F59" w:rsidRPr="00C53E36">
        <w:rPr>
          <w:i/>
          <w:iCs/>
        </w:rPr>
        <w:t>essential facility</w:t>
      </w:r>
      <w:r w:rsidR="00C53E36">
        <w:t>, sulla base di una valutazione effettuata da ciascuna Regione tesa a verificare la presenza di rigidità strutturali che determinino l’insorgere di un potere di mercato.</w:t>
      </w:r>
      <w:r>
        <w:t xml:space="preserve"> </w:t>
      </w:r>
      <w:r w:rsidR="00513FAF">
        <w:t>A questo fine le Regioni identificano gli “impianti di chiusura del ciclo minimi” e i flussi ad essi diretti.</w:t>
      </w:r>
    </w:p>
    <w:p w14:paraId="64C4FA46" w14:textId="7864E9E5" w:rsidR="00513FAF" w:rsidRDefault="00C53E36" w:rsidP="001739A1">
      <w:r>
        <w:t>Agli impianti così individuati</w:t>
      </w:r>
      <w:r w:rsidR="00E728F8">
        <w:t xml:space="preserve"> non </w:t>
      </w:r>
      <w:r>
        <w:t>si applica</w:t>
      </w:r>
      <w:r w:rsidR="00E728F8">
        <w:t xml:space="preserve"> un vincolo sui ricavi totali (revenue-cap), ma piuttosto un </w:t>
      </w:r>
      <w:r>
        <w:t>limite di prezzo unitario</w:t>
      </w:r>
      <w:r w:rsidR="00B6090A">
        <w:t xml:space="preserve"> da applicare alle quantità conferite. </w:t>
      </w:r>
      <w:r w:rsidR="00513FAF">
        <w:t>Ciò implica che il gestore sopporta in questo caso il “rischio volume” se le quantità conferite sono diverse rispetto ai flussi stimati</w:t>
      </w:r>
      <w:r w:rsidR="00347F46">
        <w:t>.</w:t>
      </w:r>
      <w:r w:rsidR="00513FAF">
        <w:t xml:space="preserve"> </w:t>
      </w:r>
    </w:p>
    <w:p w14:paraId="210597AA" w14:textId="1B5224AE" w:rsidR="001E4FFA" w:rsidRDefault="00B6090A" w:rsidP="001739A1">
      <w:r>
        <w:t xml:space="preserve">Il limite di prezzo si calcola </w:t>
      </w:r>
      <w:r w:rsidR="001E4FFA">
        <w:t>in modo apparentemente analogo: da un lato si stimano</w:t>
      </w:r>
      <w:r w:rsidR="00C70A8C">
        <w:t xml:space="preserve">, </w:t>
      </w:r>
      <w:r w:rsidR="001E4FFA">
        <w:t xml:space="preserve">le </w:t>
      </w:r>
      <w:r w:rsidR="00C70A8C">
        <w:t>“</w:t>
      </w:r>
      <w:r w:rsidR="001E4FFA">
        <w:t>entrate di riferimento</w:t>
      </w:r>
      <w:r w:rsidR="00C70A8C">
        <w:t>”</w:t>
      </w:r>
      <w:r w:rsidR="001E4FFA">
        <w:t xml:space="preserve">, </w:t>
      </w:r>
      <w:r w:rsidR="00C70A8C">
        <w:t>a partire dalle fonti contabili</w:t>
      </w:r>
      <w:r w:rsidR="001E4FFA">
        <w:t xml:space="preserve"> rapportat</w:t>
      </w:r>
      <w:r w:rsidR="00C70A8C">
        <w:t>e</w:t>
      </w:r>
      <w:r w:rsidR="001E4FFA">
        <w:t xml:space="preserve"> al flusso regolato; dall’altra si applica un limite massimo all’incremento (price-cap) alle entrate dell’anno precedente. Il minore dei due </w:t>
      </w:r>
      <w:r w:rsidR="00C70A8C">
        <w:t xml:space="preserve">importi </w:t>
      </w:r>
      <w:r w:rsidR="001E4FFA">
        <w:t>determina il tasso di incremento massimo consentito. Vi sono tuttavia importanti differenze. La prima consiste nel non prevedere alcuna deduzione dei ricavi dalla vendita di energia o materia: cosicché le entrate di riferimento risultano sproporzionatamente elevate, toglie</w:t>
      </w:r>
      <w:r w:rsidR="00EA641C">
        <w:t>ndo</w:t>
      </w:r>
      <w:r w:rsidR="001E4FFA">
        <w:t xml:space="preserve"> forza al vincolo</w:t>
      </w:r>
      <w:r w:rsidR="00397CBB">
        <w:t xml:space="preserve"> (si pensi che per un </w:t>
      </w:r>
      <w:r w:rsidR="00494346">
        <w:t>termovalorizzatore</w:t>
      </w:r>
      <w:r w:rsidR="00397CBB">
        <w:t xml:space="preserve"> i ricavi dalla vendita di </w:t>
      </w:r>
      <w:r w:rsidR="00494346">
        <w:t>energia</w:t>
      </w:r>
      <w:r w:rsidR="00397CBB">
        <w:t xml:space="preserve"> possono raggiungere il 50% del totale)</w:t>
      </w:r>
      <w:r w:rsidR="001E4FFA">
        <w:t xml:space="preserve">. La seconda consiste nel prevedere che il price cap si possa incrementare oltre l’inflazione fino al 4%, in funzione </w:t>
      </w:r>
      <w:r w:rsidR="00F0379D">
        <w:t>“</w:t>
      </w:r>
      <w:r w:rsidR="001E4FFA">
        <w:t>delle caratteristiche tecnologiche e ambientali</w:t>
      </w:r>
      <w:r w:rsidR="00F0379D">
        <w:t xml:space="preserve"> </w:t>
      </w:r>
      <w:r w:rsidR="00F0379D">
        <w:lastRenderedPageBreak/>
        <w:t>dell’impianto”, con il che si concede un ulteriore bonus agli impianti che recuperano più energia (e da questa ottengono più ricavi).</w:t>
      </w:r>
    </w:p>
    <w:p w14:paraId="024B01DF" w14:textId="3E9D850A" w:rsidR="00F0379D" w:rsidRDefault="00F0379D" w:rsidP="001739A1">
      <w:r>
        <w:t xml:space="preserve">Va ancora considerato che </w:t>
      </w:r>
      <w:r w:rsidR="00347F46">
        <w:t>l’applicazione del price-cap</w:t>
      </w:r>
      <w:r>
        <w:t xml:space="preserve"> presuppone l’esistenza di una sorta di “listino prezzi” applicato dall’impianto nell’anno precedente</w:t>
      </w:r>
      <w:r w:rsidR="00347F46">
        <w:t xml:space="preserve">; ma spesso gli impianti non </w:t>
      </w:r>
      <w:r w:rsidR="00540906">
        <w:t>possiedono</w:t>
      </w:r>
      <w:r w:rsidR="00347F46">
        <w:t xml:space="preserve"> un vero e proprio listino, </w:t>
      </w:r>
      <w:r w:rsidR="00036C85">
        <w:t>in quanto i corrispettivi si formano</w:t>
      </w:r>
      <w:r w:rsidR="00347F46">
        <w:t xml:space="preserve"> in esito a procedure di gara</w:t>
      </w:r>
      <w:r w:rsidR="00036C85">
        <w:t>, in modo differenziato per ciascun lotto</w:t>
      </w:r>
      <w:r w:rsidR="00347F46">
        <w:t>.</w:t>
      </w:r>
    </w:p>
    <w:p w14:paraId="3E51357A" w14:textId="5EF909DD" w:rsidR="006659D7" w:rsidRDefault="00F0379D" w:rsidP="001739A1">
      <w:r>
        <w:t>L’incremento così disciplinato</w:t>
      </w:r>
      <w:r w:rsidR="006659D7">
        <w:t xml:space="preserve"> rappresenta solo un teorico valore massimo</w:t>
      </w:r>
      <w:r>
        <w:t>, poiché sarà in ogni caso il mercato a fissare il prezzo. La tariffa regolata verrà applicata solo nel caso in cui la concorrenza viene meno: o perché ci si trova in una situazione di mercato “corto” sul lato dell’offerta, o perché sono le decisioni di piano a vincolare il gestore nella scelta.</w:t>
      </w:r>
      <w:r w:rsidR="00EA641C">
        <w:t xml:space="preserve"> Ma d’altra parte la ragione della regolazione sta proprio nel fatto che la concorrenza non c’è o non è </w:t>
      </w:r>
      <w:r w:rsidR="00397CBB">
        <w:t>efficace.</w:t>
      </w:r>
    </w:p>
    <w:p w14:paraId="7985E50B" w14:textId="031592B9" w:rsidR="00685921" w:rsidRDefault="00347F46" w:rsidP="001739A1">
      <w:r>
        <w:t>L’approccio di ARERA, più che per questi aspetti</w:t>
      </w:r>
      <w:r w:rsidR="00540906">
        <w:t>, ha sollevato critiche in merito all’individuazione degli impianti minimi, che la delibera affidava alle Regioni.</w:t>
      </w:r>
      <w:r w:rsidR="00104688">
        <w:t xml:space="preserve"> Dopo che già l’AGCM aveva sollevato la questione, Il Consiglio di Stato ha fatto decadere questa sezione del MTR, nella parte in cui attribuisce alle Regioni compiti in materia di tutela della concorrenza, spettanti invece allo stato</w:t>
      </w:r>
      <w:r w:rsidR="00685921">
        <w:t xml:space="preserve"> (Monzani, 2024)</w:t>
      </w:r>
      <w:r w:rsidR="00C300F3">
        <w:t>. Attraverso la definizione degli “impianti minimi” e dei flussi ad essi destinati, la Regione può infatti arrecare pregiudizio alla concorrenza, laddove impianti collocati in regioni limitrofe possano offrire tariffe più vantaggiose. Questa situazione si è verificata in particolare nel caso del rifiuto organico.</w:t>
      </w:r>
    </w:p>
    <w:p w14:paraId="66EA7B22" w14:textId="6DAA85BE" w:rsidR="00383845" w:rsidRDefault="00104688" w:rsidP="001739A1">
      <w:r>
        <w:t xml:space="preserve"> A queste censure ARERA ha risposto </w:t>
      </w:r>
      <w:r w:rsidR="00C300F3">
        <w:t xml:space="preserve">mantenendo sostanzialmente inalterato l’impianto originale, ma rinviando al PNGR, dunque a un atto di competenza statale, l’accertamento delle fattispecie previste, ovvero la presenza di rigidità strutturali, di un forte e </w:t>
      </w:r>
      <w:proofErr w:type="gramStart"/>
      <w:r w:rsidR="00C300F3">
        <w:t>stabile  eccesso</w:t>
      </w:r>
      <w:proofErr w:type="gramEnd"/>
      <w:r w:rsidR="00C300F3">
        <w:t xml:space="preserve"> di domanda e da un limitato numero di operatori.</w:t>
      </w:r>
    </w:p>
    <w:p w14:paraId="164C515F" w14:textId="1A0EDB23" w:rsidR="008D7260" w:rsidRDefault="00821A15" w:rsidP="000419E4">
      <w:pPr>
        <w:pStyle w:val="Titolo2"/>
      </w:pPr>
      <w:r>
        <w:t>Una valutazione e alcune proposte</w:t>
      </w:r>
    </w:p>
    <w:p w14:paraId="6604ECA0" w14:textId="33729DAA" w:rsidR="00ED46A4" w:rsidRDefault="00E11185" w:rsidP="003331D2">
      <w:pPr>
        <w:pStyle w:val="Titolo3"/>
      </w:pPr>
      <w:r>
        <w:t xml:space="preserve">Una valutazione </w:t>
      </w:r>
    </w:p>
    <w:p w14:paraId="1481A55A" w14:textId="2F9C1437" w:rsidR="00ED46A4" w:rsidRDefault="00E11185" w:rsidP="00ED46A4">
      <w:r>
        <w:t>Mentre si avvia a conclusione il secondo periodo regolatorio (2022-2025) e si inizia a porre le basi per il terzo, è utile forse un primo bilancio dell’esperienza di ARERA</w:t>
      </w:r>
      <w:r w:rsidR="00694E8C">
        <w:t>.</w:t>
      </w:r>
      <w:r w:rsidR="007F7FEE">
        <w:t xml:space="preserve"> Gli obiettivi posti dal legislatore e fatti propri dall’Autorità sono stati raggiunti? Si poteva fare meglio?</w:t>
      </w:r>
    </w:p>
    <w:p w14:paraId="54C663CE" w14:textId="4B7D9B7D" w:rsidR="007F7FEE" w:rsidRDefault="001A2526" w:rsidP="00ED46A4">
      <w:r>
        <w:t>La difficoltà di un simile quesito è duplice: si tratta innanzitutto</w:t>
      </w:r>
      <w:r w:rsidR="007F7FEE">
        <w:t xml:space="preserve"> </w:t>
      </w:r>
      <w:r>
        <w:t xml:space="preserve">di isolare gli effetti della riforma, </w:t>
      </w:r>
      <w:r w:rsidR="007F7FEE">
        <w:t xml:space="preserve">in assenza di un valido controfattuale (cosa sarebbe successo se, invece, il sistema regolatorio fosse rimasto </w:t>
      </w:r>
      <w:r>
        <w:t>immutato</w:t>
      </w:r>
      <w:r w:rsidR="004757C4">
        <w:t>)</w:t>
      </w:r>
      <w:r w:rsidR="007F7FEE">
        <w:t>.</w:t>
      </w:r>
      <w:r>
        <w:t xml:space="preserve"> In secondo luogo, occorre il giudizio di valore in merito a questi effetti può dipendere dal punto di vista adottato.</w:t>
      </w:r>
    </w:p>
    <w:p w14:paraId="07703A7E" w14:textId="545E5166" w:rsidR="00821A15" w:rsidRDefault="00821A15" w:rsidP="00ED46A4">
      <w:r>
        <w:t>La letteratura economica riconosce l’utilità delle autorità indipendenti soprattutto laddove il mercato non può dispiegare interamente le virtù della “mano invisibile”, per assenza di concorrenza, ovvero per l’incompletezza dei contratti (</w:t>
      </w:r>
      <w:r w:rsidR="00CD3475">
        <w:t>Marques, 2017</w:t>
      </w:r>
      <w:r>
        <w:t xml:space="preserve">). Essa serve nello stesso tempo a tutelare i consumatori contro l’insorgere di potere di mercato degli operatori, ma anche a garantire agli operatori che si assumono gli “obblighi di servizio pubblico il raggiungimento dell’equilibrio economico-finanziario. </w:t>
      </w:r>
      <w:r w:rsidR="001967DA">
        <w:t>La difficoltà del</w:t>
      </w:r>
      <w:r w:rsidR="00694141">
        <w:t xml:space="preserve"> ruolo consiste nel limitarsi a questa funzione di “completamento del mercato”, senza cedere alla tentazione di </w:t>
      </w:r>
      <w:proofErr w:type="spellStart"/>
      <w:r w:rsidR="00694141">
        <w:t>sosituirvisi</w:t>
      </w:r>
      <w:proofErr w:type="spellEnd"/>
      <w:r w:rsidR="00694141">
        <w:t>, ma anzi cercando in tutti i modi di favorirne lo sviluppo; e senza travalicare in quell</w:t>
      </w:r>
      <w:r w:rsidR="001967DA">
        <w:t>i</w:t>
      </w:r>
      <w:r w:rsidR="00694141">
        <w:t xml:space="preserve"> che sono o dovrebbero essere, invece, i compiti della politica, ossia </w:t>
      </w:r>
      <w:r w:rsidR="001967DA">
        <w:t>la specificazione</w:t>
      </w:r>
      <w:r w:rsidR="00694141">
        <w:t xml:space="preserve"> degli obblighi di servizio pubblico.</w:t>
      </w:r>
    </w:p>
    <w:p w14:paraId="2CC2F197" w14:textId="151FC732" w:rsidR="00821A15" w:rsidRDefault="00821A15" w:rsidP="00ED46A4">
      <w:r>
        <w:t xml:space="preserve">Per le ragioni richiamate nel cap. </w:t>
      </w:r>
      <w:r w:rsidR="00494346">
        <w:t>4</w:t>
      </w:r>
      <w:r>
        <w:t>, la gestione dei RU assume sempre più caratteristiche</w:t>
      </w:r>
      <w:r w:rsidR="00694141">
        <w:t xml:space="preserve"> tali da richiedere un simile ruolo. ARERA ha affrontato il compito con grande </w:t>
      </w:r>
      <w:r w:rsidR="00494346">
        <w:t>determinazione</w:t>
      </w:r>
      <w:r w:rsidR="00694141">
        <w:t>, e non si può negare che abbia raggiunto alcuni importanti risultati.</w:t>
      </w:r>
    </w:p>
    <w:p w14:paraId="2DE1AC81" w14:textId="3326981D" w:rsidR="00614C22" w:rsidRDefault="001A2526" w:rsidP="00ED46A4">
      <w:r>
        <w:lastRenderedPageBreak/>
        <w:t>Con la</w:t>
      </w:r>
      <w:r w:rsidR="004757C4">
        <w:t xml:space="preserve"> regolazione </w:t>
      </w:r>
      <w:r>
        <w:t xml:space="preserve">ARERA è </w:t>
      </w:r>
      <w:r w:rsidR="0082421B">
        <w:t xml:space="preserve">innanzitutto </w:t>
      </w:r>
      <w:r w:rsidR="00614C22">
        <w:t xml:space="preserve">migliorato </w:t>
      </w:r>
      <w:r>
        <w:t>i</w:t>
      </w:r>
      <w:r w:rsidR="00614C22">
        <w:t xml:space="preserve">l quadro informativo. In precedenza, mentre erano regolarmente disponibili i dati relativi alle performance ambientali (rifiuti prodotti, raccolte differenziate, gestione dei flussi raccolti), ben poco si </w:t>
      </w:r>
      <w:r w:rsidR="002A5047">
        <w:t xml:space="preserve">conosceva dell’organizzazione del settore e </w:t>
      </w:r>
      <w:r w:rsidR="00540906">
        <w:t>delle condizioni economiche di erogazione del servizio.</w:t>
      </w:r>
      <w:r w:rsidR="001A4861">
        <w:t xml:space="preserve"> </w:t>
      </w:r>
      <w:r w:rsidR="00494346">
        <w:t xml:space="preserve">I dati economici resi disponibili da ISPRA scontavano l’approssimazione dei criteri di attribuzione dei costi alle diverse attività, rendendo i confronti poco significativi. </w:t>
      </w:r>
      <w:r w:rsidR="001A4861">
        <w:t>L’informazione agevola la trasparenza e, indirettamente, favorisce la concorrenza</w:t>
      </w:r>
      <w:r w:rsidR="001967DA">
        <w:t>.</w:t>
      </w:r>
      <w:r w:rsidR="009A2A75">
        <w:t xml:space="preserve"> Proprio per questa ragione si può, semmai, lamentare l’eccessiva parsimonia con cui ARERA rende pubblicamente disponibile la gran mole di informazioni </w:t>
      </w:r>
      <w:r w:rsidR="00297F0A">
        <w:t>di cui dispone</w:t>
      </w:r>
      <w:r w:rsidR="009A2A75">
        <w:t>, a cominciare proprio dal</w:t>
      </w:r>
      <w:r w:rsidR="00297F0A">
        <w:t xml:space="preserve"> contenuto dei piani tariffari</w:t>
      </w:r>
      <w:r w:rsidR="009A2A75">
        <w:t xml:space="preserve"> </w:t>
      </w:r>
      <w:r w:rsidR="00297F0A">
        <w:t>approvati.</w:t>
      </w:r>
    </w:p>
    <w:p w14:paraId="08BD8C9F" w14:textId="0969CC3D" w:rsidR="004757C4" w:rsidRDefault="00010A21" w:rsidP="00ED46A4">
      <w:r>
        <w:t>Il</w:t>
      </w:r>
      <w:r w:rsidR="00614C22">
        <w:t xml:space="preserve"> risultato </w:t>
      </w:r>
      <w:r>
        <w:t xml:space="preserve">forse più </w:t>
      </w:r>
      <w:r w:rsidR="00614C22">
        <w:t>importante</w:t>
      </w:r>
      <w:r w:rsidR="004757C4">
        <w:t xml:space="preserve"> </w:t>
      </w:r>
      <w:r w:rsidR="00C219FD">
        <w:t xml:space="preserve">è </w:t>
      </w:r>
      <w:r w:rsidR="00D703DF">
        <w:t>l’aver messo sotto</w:t>
      </w:r>
      <w:r w:rsidR="004757C4">
        <w:t xml:space="preserve"> controllo la dinamica </w:t>
      </w:r>
      <w:r w:rsidR="002A5047">
        <w:t>tariffaria</w:t>
      </w:r>
      <w:r w:rsidR="004757C4">
        <w:t>.</w:t>
      </w:r>
      <w:r w:rsidR="00D703DF">
        <w:t xml:space="preserve"> La fig.</w:t>
      </w:r>
      <w:r w:rsidR="00E23C3B">
        <w:t xml:space="preserve"> </w:t>
      </w:r>
      <w:r w:rsidR="0090642F">
        <w:t>3</w:t>
      </w:r>
      <w:r w:rsidR="00D703DF">
        <w:t xml:space="preserve"> mette a confronto il tasso di inflazione (indice FOI) con l’incremento medio del costo pro-capite per il SGRU</w:t>
      </w:r>
      <w:r w:rsidR="00814F7B">
        <w:t xml:space="preserve"> e con l’andamento medio della TARI</w:t>
      </w:r>
      <w:r w:rsidR="00D703DF">
        <w:t xml:space="preserve">. Particolarmente apprezzabile l’andamento della curva del costo nel periodo successivo alla </w:t>
      </w:r>
      <w:proofErr w:type="spellStart"/>
      <w:proofErr w:type="gramStart"/>
      <w:r w:rsidR="00D703DF">
        <w:t>pandemia,nel</w:t>
      </w:r>
      <w:proofErr w:type="spellEnd"/>
      <w:proofErr w:type="gramEnd"/>
      <w:r w:rsidR="00D703DF">
        <w:t xml:space="preserve"> quale si è riusciti a contenere la fiammata inflazionistica con un incremento dei costi riconosciuti ben al di sotto di questa</w:t>
      </w:r>
      <w:r w:rsidR="00E23C3B">
        <w:t>, nonostante il settore si trovi in una fase espansiva</w:t>
      </w:r>
      <w:r w:rsidR="00D703DF">
        <w:t>.</w:t>
      </w:r>
      <w:r w:rsidR="00E23C3B">
        <w:t xml:space="preserve"> Pure si può notare (</w:t>
      </w:r>
      <w:r w:rsidR="002A5047">
        <w:t xml:space="preserve">fig. </w:t>
      </w:r>
      <w:r w:rsidR="0090642F">
        <w:t>4</w:t>
      </w:r>
      <w:r w:rsidR="002A5047">
        <w:t>) che gli incrementi tariffari effettivi sono risultati più contenuti rispetto alla dinamica dei costi riconoscibili</w:t>
      </w:r>
      <w:r>
        <w:t>: effetto del price-cap, ma soprattutto dell’aver responsabilizzato gli ETC.</w:t>
      </w:r>
    </w:p>
    <w:p w14:paraId="7DA08DC3" w14:textId="5512101C" w:rsidR="00E23C3B" w:rsidRDefault="00E23C3B" w:rsidP="00E23C3B">
      <w:pPr>
        <w:pStyle w:val="Titolofigureetabelle"/>
      </w:pPr>
      <w:r>
        <w:t xml:space="preserve">Figura </w:t>
      </w:r>
      <w:r w:rsidR="0090642F">
        <w:t>3</w:t>
      </w:r>
      <w:r>
        <w:t xml:space="preserve"> – Andamento dell’indice dei prezzi al consumo</w:t>
      </w:r>
      <w:r w:rsidR="0027109F">
        <w:t xml:space="preserve"> (a),</w:t>
      </w:r>
      <w:r>
        <w:t xml:space="preserve"> del costo pro-capite di gestione del RU</w:t>
      </w:r>
      <w:r w:rsidR="0027109F">
        <w:t xml:space="preserve"> (b) e della TARI (c)</w:t>
      </w:r>
    </w:p>
    <w:p w14:paraId="229A0398" w14:textId="3EFAF0B0" w:rsidR="004757C4" w:rsidRDefault="001201B0" w:rsidP="002A5047">
      <w:pPr>
        <w:jc w:val="center"/>
      </w:pPr>
      <w:r>
        <w:rPr>
          <w:noProof/>
        </w:rPr>
        <w:drawing>
          <wp:inline distT="0" distB="0" distL="0" distR="0" wp14:anchorId="3BF06522" wp14:editId="53A14759">
            <wp:extent cx="4572000" cy="2743200"/>
            <wp:effectExtent l="0" t="0" r="0" b="0"/>
            <wp:docPr id="1" name="Grafico 1">
              <a:extLst xmlns:a="http://schemas.openxmlformats.org/drawingml/2006/main">
                <a:ext uri="{FF2B5EF4-FFF2-40B4-BE49-F238E27FC236}">
                  <a16:creationId xmlns:a16="http://schemas.microsoft.com/office/drawing/2014/main" id="{205C7108-AEE8-4772-8FD4-643B911B4E4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7001418" w14:textId="6679DE80" w:rsidR="00E23C3B" w:rsidRPr="00E23C3B" w:rsidRDefault="00E23C3B" w:rsidP="00E23C3B">
      <w:pPr>
        <w:pStyle w:val="Finefiguraetabella"/>
        <w:rPr>
          <w:lang w:val="it-IT"/>
        </w:rPr>
      </w:pPr>
      <w:r w:rsidRPr="00E23C3B">
        <w:rPr>
          <w:lang w:val="it-IT"/>
        </w:rPr>
        <w:t>Fonte: Nostra elaborazione su d</w:t>
      </w:r>
      <w:r>
        <w:rPr>
          <w:lang w:val="it-IT"/>
        </w:rPr>
        <w:t>ati Istat</w:t>
      </w:r>
      <w:r w:rsidR="0027109F">
        <w:rPr>
          <w:lang w:val="it-IT"/>
        </w:rPr>
        <w:t xml:space="preserve"> (a),</w:t>
      </w:r>
      <w:r>
        <w:rPr>
          <w:lang w:val="it-IT"/>
        </w:rPr>
        <w:t xml:space="preserve"> Ispra</w:t>
      </w:r>
      <w:r w:rsidR="00451900">
        <w:rPr>
          <w:lang w:val="it-IT"/>
        </w:rPr>
        <w:t>. 2024</w:t>
      </w:r>
      <w:r w:rsidR="0027109F">
        <w:rPr>
          <w:lang w:val="it-IT"/>
        </w:rPr>
        <w:t xml:space="preserve"> (b), Utilitatis</w:t>
      </w:r>
      <w:r w:rsidR="00451900">
        <w:rPr>
          <w:lang w:val="it-IT"/>
        </w:rPr>
        <w:t>, 2024</w:t>
      </w:r>
      <w:r w:rsidR="0027109F">
        <w:rPr>
          <w:lang w:val="it-IT"/>
        </w:rPr>
        <w:t xml:space="preserve"> (c)</w:t>
      </w:r>
    </w:p>
    <w:p w14:paraId="33707824" w14:textId="64FBD6C1" w:rsidR="00322518" w:rsidRDefault="00322518" w:rsidP="00322518">
      <w:pPr>
        <w:pStyle w:val="Titolofigureetabelle"/>
      </w:pPr>
      <w:r>
        <w:lastRenderedPageBreak/>
        <w:t xml:space="preserve">Figura </w:t>
      </w:r>
      <w:r w:rsidR="0090642F">
        <w:t>4</w:t>
      </w:r>
      <w:r>
        <w:t xml:space="preserve"> – incremento effettivo delle entrate tariffarie ammesse a fronte della dinamica dei costi per area territoriale e per dimensioni del territorio servito</w:t>
      </w:r>
    </w:p>
    <w:p w14:paraId="19948AED" w14:textId="5750A9D8" w:rsidR="00322518" w:rsidRDefault="006337D3" w:rsidP="00ED46A4">
      <w:r>
        <w:rPr>
          <w:noProof/>
        </w:rPr>
        <w:drawing>
          <wp:inline distT="0" distB="0" distL="0" distR="0" wp14:anchorId="1E7EA2FE" wp14:editId="6D3B0582">
            <wp:extent cx="2947987" cy="2938462"/>
            <wp:effectExtent l="0" t="0" r="5080" b="14605"/>
            <wp:docPr id="12" name="Grafico 12">
              <a:extLst xmlns:a="http://schemas.openxmlformats.org/drawingml/2006/main">
                <a:ext uri="{FF2B5EF4-FFF2-40B4-BE49-F238E27FC236}">
                  <a16:creationId xmlns:a16="http://schemas.microsoft.com/office/drawing/2014/main" id="{4B4B936F-DF6F-4821-992F-229053675E4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Pr>
          <w:noProof/>
        </w:rPr>
        <w:t xml:space="preserve"> </w:t>
      </w:r>
      <w:r w:rsidR="00322518">
        <w:rPr>
          <w:noProof/>
        </w:rPr>
        <w:drawing>
          <wp:inline distT="0" distB="0" distL="0" distR="0" wp14:anchorId="675BE9A1" wp14:editId="1B4F7DFE">
            <wp:extent cx="3095625" cy="2462212"/>
            <wp:effectExtent l="0" t="0" r="9525" b="14605"/>
            <wp:docPr id="7" name="Grafico 7">
              <a:extLst xmlns:a="http://schemas.openxmlformats.org/drawingml/2006/main">
                <a:ext uri="{FF2B5EF4-FFF2-40B4-BE49-F238E27FC236}">
                  <a16:creationId xmlns:a16="http://schemas.microsoft.com/office/drawing/2014/main" id="{BFD726E4-AB5C-4B04-9209-AE0D470623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A89A01B" w14:textId="6728FE57" w:rsidR="00322518" w:rsidRPr="00322518" w:rsidRDefault="00322518" w:rsidP="00322518">
      <w:pPr>
        <w:pStyle w:val="Finefiguraetabella"/>
        <w:rPr>
          <w:lang w:val="it-IT"/>
        </w:rPr>
      </w:pPr>
      <w:r w:rsidRPr="00322518">
        <w:rPr>
          <w:lang w:val="it-IT"/>
        </w:rPr>
        <w:t>Fon</w:t>
      </w:r>
      <w:r>
        <w:rPr>
          <w:lang w:val="it-IT"/>
        </w:rPr>
        <w:t>te: ARERA, 2024</w:t>
      </w:r>
      <w:r w:rsidR="00451900">
        <w:rPr>
          <w:lang w:val="it-IT"/>
        </w:rPr>
        <w:t>a</w:t>
      </w:r>
    </w:p>
    <w:p w14:paraId="3F37EF4D" w14:textId="4C0FE36E" w:rsidR="0082421B" w:rsidRDefault="0082421B" w:rsidP="00ED46A4">
      <w:r>
        <w:t xml:space="preserve">In terzo luogo, la regolazione indipendente ha </w:t>
      </w:r>
      <w:r w:rsidR="00494346">
        <w:t>favorito</w:t>
      </w:r>
      <w:r>
        <w:t xml:space="preserve"> l’armonizzazione delle regole del gioco. La frammentazione delle regole e ancor più la loro difforme applicazione nelle varie parti del paese ha rappresentato </w:t>
      </w:r>
      <w:r w:rsidR="00451900">
        <w:t xml:space="preserve">finora </w:t>
      </w:r>
      <w:r>
        <w:t>un significativo ostacolo a una modernizzazione del settore in senso industriale, specie al sud</w:t>
      </w:r>
      <w:r w:rsidR="008327E1">
        <w:t xml:space="preserve"> (Brusco et al., 1995)</w:t>
      </w:r>
      <w:r>
        <w:t xml:space="preserve">. L’inadeguatezza del sistema di gestione è stata la principale ragione del cronico ripetersi di situazioni di crisi, di cui le emergenze napoletana e romana sono state solo le manifestazioni più eclatanti. Anche grazie a questa spaccatura in due del paese, un’offerta di bassa qualità (e meno carica di responsabilità) ha potuto spesso prevalere sugli operatori più qualificati, lucrando sulla scarsità degli impianti e sull’intermediazione. </w:t>
      </w:r>
    </w:p>
    <w:p w14:paraId="524D4300" w14:textId="2089C06B" w:rsidR="0082421B" w:rsidRDefault="0082421B" w:rsidP="00ED46A4">
      <w:r>
        <w:t xml:space="preserve">Dalla maggiore certezza regolatoria ci si </w:t>
      </w:r>
      <w:proofErr w:type="spellStart"/>
      <w:r>
        <w:t>sttende</w:t>
      </w:r>
      <w:proofErr w:type="spellEnd"/>
      <w:r>
        <w:t xml:space="preserve"> un beneficio degli investimenti finalizzati al raggiungimento degli OSP e a tutela degli operatori orientati alla qualità.  </w:t>
      </w:r>
    </w:p>
    <w:p w14:paraId="0A755167" w14:textId="3A38259D" w:rsidR="00777019" w:rsidRDefault="000C6038" w:rsidP="00ED46A4">
      <w:r>
        <w:t>In mancanza di riscontri migliori, u</w:t>
      </w:r>
      <w:r w:rsidR="00777019">
        <w:t xml:space="preserve">n indicatore indiretto </w:t>
      </w:r>
      <w:r>
        <w:t xml:space="preserve">può essere rappresentato dal livello di gradimento riscontrato dalla regolazione da parte dei </w:t>
      </w:r>
      <w:r w:rsidR="006337D3">
        <w:t xml:space="preserve">vari </w:t>
      </w:r>
      <w:r w:rsidR="006337D3" w:rsidRPr="006337D3">
        <w:rPr>
          <w:i/>
          <w:iCs/>
        </w:rPr>
        <w:t>stakeholder</w:t>
      </w:r>
      <w:r>
        <w:t>. Si può osservare ad esempio</w:t>
      </w:r>
      <w:r w:rsidR="00777019">
        <w:t xml:space="preserve"> nelle prese di posizione delle principali associazioni di categoria</w:t>
      </w:r>
      <w:r>
        <w:t xml:space="preserve"> a sostegno del modello regolatorio vigente a fronte delle proposte di legge tendenti a depotenziare il ruolo di ARERA (le rappresentanze dei gestori, come </w:t>
      </w:r>
      <w:proofErr w:type="spellStart"/>
      <w:r>
        <w:t>Utilialia</w:t>
      </w:r>
      <w:proofErr w:type="spellEnd"/>
      <w:r>
        <w:t xml:space="preserve"> e Assoambiente, i Consorzi di filiera, ma anche l’ANCI e le Associazioni dei Consumatori e financo quelle ambientaliste si sono espresse molto nettamente contro tale eventualità</w:t>
      </w:r>
      <w:r w:rsidR="008A7D3D">
        <w:t>).</w:t>
      </w:r>
    </w:p>
    <w:p w14:paraId="11C04545" w14:textId="329D0940" w:rsidR="007F7FEE" w:rsidRDefault="00540906" w:rsidP="00ED46A4">
      <w:r>
        <w:t>Peraltro, s</w:t>
      </w:r>
      <w:r w:rsidR="007F7FEE">
        <w:t xml:space="preserve">e uno dei principali obiettivi era quello di accelerare gli investimenti e </w:t>
      </w:r>
      <w:r>
        <w:t xml:space="preserve">completare </w:t>
      </w:r>
      <w:r w:rsidR="007F7FEE">
        <w:t xml:space="preserve">la dotazione impiantistica, soprattutto nel Centro-Sud, </w:t>
      </w:r>
      <w:r w:rsidR="00B75C34">
        <w:t>non si può dire che la regolazione ARERA abbia avuto successo.</w:t>
      </w:r>
      <w:r w:rsidR="00BF4D09">
        <w:t xml:space="preserve"> </w:t>
      </w:r>
      <w:r w:rsidR="002E230C">
        <w:t>Dal</w:t>
      </w:r>
      <w:r w:rsidR="00B75C34">
        <w:t xml:space="preserve"> suo </w:t>
      </w:r>
      <w:r w:rsidR="002E230C">
        <w:t>avvio, ben pochi sono stati</w:t>
      </w:r>
      <w:r w:rsidR="007F7FEE">
        <w:t xml:space="preserve"> </w:t>
      </w:r>
      <w:r w:rsidR="002E230C">
        <w:t>i nuovi impianti realizzati nelle aree più deficitarie.</w:t>
      </w:r>
    </w:p>
    <w:p w14:paraId="78F7C79F" w14:textId="1D4FF8C9" w:rsidR="00221763" w:rsidRDefault="00221763" w:rsidP="00ED46A4">
      <w:r>
        <w:t xml:space="preserve">Ancora nel 2023, quasi 2 Mt di frazione organica venivano gestite in regioni diverse da quella di origine. Il Nord assorbe flussi per oltre 1,1 Mt, provenienti per </w:t>
      </w:r>
      <w:r w:rsidR="00BF4D09">
        <w:t>il 54% dal Sud e per il 46% dal Centro.</w:t>
      </w:r>
      <w:r w:rsidR="007370EE">
        <w:t xml:space="preserve"> Il PNRR finanzia numerosi nuovi impianti, ma quasi tutti collocati al Nord</w:t>
      </w:r>
      <w:r w:rsidR="002E230C">
        <w:t xml:space="preserve"> (Ballabio et al., 2024a).</w:t>
      </w:r>
      <w:r w:rsidR="00B75C34">
        <w:t xml:space="preserve"> Anche per i termovalorizzatori si riscontra una situazione simile, con regioni del tutto prive di impianti, e altre con capacità sovrabbondante</w:t>
      </w:r>
      <w:r w:rsidR="00694141">
        <w:t>.</w:t>
      </w:r>
    </w:p>
    <w:p w14:paraId="0F319467" w14:textId="51359826" w:rsidR="00CB0D49" w:rsidRDefault="00694141" w:rsidP="004757C4">
      <w:r>
        <w:lastRenderedPageBreak/>
        <w:t xml:space="preserve">Se i primi risultati sono comunque incoraggianti, vi sono alcune importanti criticità che a nostro avviso hanno finora caratterizzato l’azione del regolatore, e meritano qualche riflessione. </w:t>
      </w:r>
    </w:p>
    <w:p w14:paraId="4E8A3AEA" w14:textId="2E51F68F" w:rsidR="003D0487" w:rsidRDefault="003D0487" w:rsidP="003331D2">
      <w:pPr>
        <w:pStyle w:val="Titolo3"/>
      </w:pPr>
      <w:r>
        <w:t>La regolazione multilivello</w:t>
      </w:r>
      <w:r w:rsidR="008C67BB">
        <w:t xml:space="preserve"> e</w:t>
      </w:r>
      <w:r>
        <w:t xml:space="preserve"> il ruolo dell’ETC</w:t>
      </w:r>
    </w:p>
    <w:p w14:paraId="280307CA" w14:textId="6A89E81C" w:rsidR="003D0487" w:rsidRDefault="003D0487" w:rsidP="003D0487">
      <w:r>
        <w:t>Come si è visto nel par. 2, in Italia il SGRU rimane nella sua essenza un servizio pubblico locale</w:t>
      </w:r>
      <w:r w:rsidR="0082421B">
        <w:t>, la cui organizzazione spetta ai comuni – ancorché obbligatoriamente associati negli ATO.</w:t>
      </w:r>
      <w:r>
        <w:t xml:space="preserve"> </w:t>
      </w:r>
    </w:p>
    <w:p w14:paraId="174E8FA0" w14:textId="4FB0788B" w:rsidR="003D0487" w:rsidRDefault="003D0487" w:rsidP="003D0487">
      <w:r>
        <w:t>Inevitabile quindi basare la regolazione su uno schema multilivello, in cui l’Autorità nazionale emana le norme generali la cui applicazione e verifica è affidata ad un braccio operativo locale, cui, data l’eterogeneità di modelli, ci si riferisce come “ente territorialmente competente” (ETC). La scelta è ricaduta su</w:t>
      </w:r>
      <w:r w:rsidR="0082421B">
        <w:t>l</w:t>
      </w:r>
      <w:r>
        <w:t xml:space="preserve"> soggett</w:t>
      </w:r>
      <w:r w:rsidR="0082421B">
        <w:t>o</w:t>
      </w:r>
      <w:r>
        <w:t xml:space="preserve"> cui la legge assegna la titolarità del servizio, ossia l’EGA (quando costituito e operativo) ovvero, in sua vece, il comune. </w:t>
      </w:r>
    </w:p>
    <w:p w14:paraId="3BE8AC4A" w14:textId="5895AE9E" w:rsidR="003D0487" w:rsidRDefault="003D0487" w:rsidP="003D0487">
      <w:r>
        <w:t xml:space="preserve">Questa scelta, per certi versi obbligata, genera tuttavia una sorta di cortocircuito, in quanto le funzioni regolatorie vengono delegate a un soggetto che non è indipendente, in quanto espressione degli enti locali che </w:t>
      </w:r>
      <w:r w:rsidR="00A06018">
        <w:t>ne costituiscono l’organo deliberante</w:t>
      </w:r>
      <w:r>
        <w:t xml:space="preserve">. Se una simile soluzione può essere relativamente indolore nel caso del servizio idrico – dove il gestore ha come controparte l’utente finale – lo è molto meno nel caso del SGRU, dove l’ente locale è una delle due controparti del contratto di servizio, trovandosi quindi a svolgere </w:t>
      </w:r>
      <w:r w:rsidR="00A06018">
        <w:t xml:space="preserve">nello stesso tempo </w:t>
      </w:r>
      <w:r>
        <w:t>il ruolo di arbitro</w:t>
      </w:r>
      <w:r w:rsidR="00A06018">
        <w:t>,</w:t>
      </w:r>
      <w:r>
        <w:t xml:space="preserve"> giocatore </w:t>
      </w:r>
      <w:r w:rsidR="00A06018">
        <w:t>e – nel caso delle gestioni pubbliche – anche di proprietario</w:t>
      </w:r>
      <w:r>
        <w:t>.</w:t>
      </w:r>
    </w:p>
    <w:p w14:paraId="68267171" w14:textId="2745E68D" w:rsidR="003D0487" w:rsidRDefault="003D0487" w:rsidP="003D0487">
      <w:r>
        <w:t>Questo cortocircuito risulta particolarmente evidente quando la regolazione va a sovrapporsi a un rapporto contrattuale sorto in precedenza, soprattutto se in esito ad una gara o ad un affidamento originario a una società poi quotata.</w:t>
      </w:r>
      <w:r w:rsidR="0067055B">
        <w:t xml:space="preserve"> </w:t>
      </w:r>
      <w:proofErr w:type="gramStart"/>
      <w:r w:rsidR="0067055B">
        <w:t>E’</w:t>
      </w:r>
      <w:proofErr w:type="gramEnd"/>
      <w:r w:rsidR="0067055B">
        <w:t xml:space="preserve"> perfettamente logico che la regolazione prevalga sulle pattuizioni precedenti, come del resto confermato da numerose sentenze del giudice amministrativo (Musto, 2024). Ma proprio per questo è necessario che il soggetto che interviene a modificare i contenuti di una pattuizione precedente dia garanzie di assoluta imparzialità.</w:t>
      </w:r>
    </w:p>
    <w:p w14:paraId="25DADEBC" w14:textId="3FAA6C24" w:rsidR="003D0487" w:rsidRDefault="003D0487" w:rsidP="003D0487">
      <w:r>
        <w:t xml:space="preserve">Nel caso di contratti preesistenti, qualora le entrate di riferimento – basate sui costi effettivamente rilevati ex post – siano inferiori all’importo stabilito in gara, questo viene automaticamente decurtato per riallinearlo all’importo massimo previsto dal MTR; mentre in caso contrario l’ETC può sostenere che essendo l’offerta presentata in gara vincolante per il gestore (che si è assunto il rischio imprenditoriale), è giustificato decurtare le entrate di riferimento, così da non eccedere l’importo offerto in gara. Questa asimmetria, già poco giustificabile in sé, risulta ulteriormente penalizzante in quei casi in cui il gestore si è aggiudicato un servizio messo in gara da più comuni facendo un’offerta basata su criteri parametrici riferiti alla totalità del territorio servito, mentre i costi </w:t>
      </w:r>
      <w:r w:rsidR="006D5E62">
        <w:t>effettivamente</w:t>
      </w:r>
      <w:r>
        <w:t xml:space="preserve"> sostenuti in ciascun comune possono risultare maggiori o minori.</w:t>
      </w:r>
    </w:p>
    <w:p w14:paraId="0B327ADA" w14:textId="77777777" w:rsidR="00486313" w:rsidRDefault="003D0487" w:rsidP="003D0487">
      <w:r>
        <w:t xml:space="preserve">Se invece una nuova gara fa emergere un corrispettivo maggiore rispetto all’affidamento precedente, il suo riconoscimento non è automatico, perché spetta pur sempre all’ETC la decisione di chiedere un adeguamento della tariffa per importi che eccedono il price-cap annuale. L’ETC in tal modo potrà rifiutare l’adeguamento se l’esigenza politica di calmierare la tariffa prenderà il sopravvento. Non si tratta di eventualità remote, ma di situazioni che abbiamo direttamente riscontrato sul campo. </w:t>
      </w:r>
    </w:p>
    <w:p w14:paraId="589F8E3D" w14:textId="0892C8C1" w:rsidR="003D0487" w:rsidRDefault="0025627A" w:rsidP="003D0487">
      <w:r>
        <w:t>ARERA ha recentemente rimedi</w:t>
      </w:r>
      <w:r w:rsidR="00C86CDA">
        <w:t>ato</w:t>
      </w:r>
      <w:r>
        <w:t xml:space="preserve"> a</w:t>
      </w:r>
      <w:r w:rsidR="00486313">
        <w:t>d</w:t>
      </w:r>
      <w:r>
        <w:t xml:space="preserve"> </w:t>
      </w:r>
      <w:r w:rsidR="00486313">
        <w:t>alcune di queste</w:t>
      </w:r>
      <w:r>
        <w:t xml:space="preserve"> criticità</w:t>
      </w:r>
      <w:r w:rsidR="00486313">
        <w:t>.</w:t>
      </w:r>
      <w:r>
        <w:t xml:space="preserve"> </w:t>
      </w:r>
      <w:r w:rsidR="00486313">
        <w:t xml:space="preserve">Il MTR-2 introduce criteri più oggettivi per quantificare i parametri regolatori (come il fattore X di recupero di produttività); </w:t>
      </w:r>
      <w:r w:rsidR="001907EC">
        <w:t>lo schema-tipo di</w:t>
      </w:r>
      <w:r>
        <w:t xml:space="preserve"> bando di gara </w:t>
      </w:r>
      <w:r w:rsidR="00486313">
        <w:t xml:space="preserve">(Del. 586/2024, art. 11.4) prevede </w:t>
      </w:r>
      <w:r>
        <w:t>che nel caso in cui le condizioni di aggiudicazione comportino un incremento tariffario maggiore di quanto previsto dal price-cap, questi si applichino automaticamente</w:t>
      </w:r>
      <w:r w:rsidR="00C001C6">
        <w:t xml:space="preserve"> (ARERA, 2023b)</w:t>
      </w:r>
      <w:r w:rsidR="001907EC">
        <w:t>.</w:t>
      </w:r>
    </w:p>
    <w:p w14:paraId="1D5A7D8B" w14:textId="530E7108" w:rsidR="00296969" w:rsidRDefault="00296969" w:rsidP="003D0487">
      <w:r>
        <w:t xml:space="preserve">Molte altre sono tuttavia le leve di cui l’ETC dispone e possono essere manovrate in modo discrezionale. </w:t>
      </w:r>
      <w:proofErr w:type="gramStart"/>
      <w:r>
        <w:t>Al  fine</w:t>
      </w:r>
      <w:proofErr w:type="gramEnd"/>
      <w:r>
        <w:t xml:space="preserve"> di evitare che esse siano impiegate in modo non coerente con le finalità disposte dal regolatore nazionale</w:t>
      </w:r>
      <w:r w:rsidR="00B5632E">
        <w:t>,</w:t>
      </w:r>
      <w:r>
        <w:t xml:space="preserve"> </w:t>
      </w:r>
      <w:r w:rsidR="00B5632E">
        <w:t>s</w:t>
      </w:r>
      <w:r>
        <w:t xml:space="preserve">arebbe opportuno prevedere </w:t>
      </w:r>
      <w:r w:rsidR="00B5632E">
        <w:t xml:space="preserve">qualche forma di garanzia in più. Ad esempio, </w:t>
      </w:r>
      <w:r>
        <w:t xml:space="preserve">in caso di disaccordo tra gestore ed ETC in merito alle decisioni lasciate alla discrezionalità di quest’ultimo, sia possibile al gestore </w:t>
      </w:r>
      <w:r>
        <w:lastRenderedPageBreak/>
        <w:t xml:space="preserve">richiedere un arbitrato da parte di ARERA. Si potrebbe anche prevedere che, in assenza di ETC formalmente costituito, sia la Regione (e non il </w:t>
      </w:r>
      <w:proofErr w:type="spellStart"/>
      <w:r>
        <w:t>sincolo</w:t>
      </w:r>
      <w:proofErr w:type="spellEnd"/>
      <w:r>
        <w:t xml:space="preserve"> comune) ad esercitare le funzioni regolatorie.</w:t>
      </w:r>
    </w:p>
    <w:p w14:paraId="0AA680FC" w14:textId="77777777" w:rsidR="003D0487" w:rsidRDefault="003D0487" w:rsidP="003331D2">
      <w:pPr>
        <w:pStyle w:val="Titolo3"/>
      </w:pPr>
      <w:r>
        <w:t>Il perimetro della regolazione e l’ambito tariffario</w:t>
      </w:r>
    </w:p>
    <w:p w14:paraId="30AEEF88" w14:textId="5042E563" w:rsidR="003D0487" w:rsidRDefault="003D0487" w:rsidP="003D0487">
      <w:r>
        <w:t xml:space="preserve">La qualifica di “gestore”, e quindi l’assoggettamento alla regolazione, si basa sull’affidamento “del servizio integrato o dei singoli servizi che lo compongono”; qualora il comune continui a svolgere almeno le attività di bollettazione e incasso, è l’ambito comunale a costituire l’unità territoriale rilevante ai fini della regolazione (il cosiddetto “ambito tariffario”). </w:t>
      </w:r>
      <w:r w:rsidR="00482999">
        <w:t xml:space="preserve">Ciò avviene nella stragrande maggioranza dei casi, considerando che la tariffazione puntuale risulta applicata solo in 1.100 comuni, per una popolazione di 8 </w:t>
      </w:r>
      <w:proofErr w:type="spellStart"/>
      <w:r w:rsidR="00482999">
        <w:t>Mab</w:t>
      </w:r>
      <w:proofErr w:type="spellEnd"/>
      <w:r w:rsidR="00482999">
        <w:t xml:space="preserve"> (IFEL, 2024); solo in </w:t>
      </w:r>
      <w:r w:rsidR="00871A25">
        <w:t>una manciata di</w:t>
      </w:r>
      <w:r w:rsidR="00482999">
        <w:t xml:space="preserve"> casi, per di più, la tariffazione puntuale è applicata a livello di ATO e non di singolo comune.</w:t>
      </w:r>
    </w:p>
    <w:p w14:paraId="02D94B26" w14:textId="7BBF6353" w:rsidR="00C86CDA" w:rsidRDefault="003D0487" w:rsidP="00C86CDA">
      <w:r>
        <w:t xml:space="preserve">Se ciò può avere senso </w:t>
      </w:r>
      <w:proofErr w:type="spellStart"/>
      <w:r>
        <w:t>condiderato</w:t>
      </w:r>
      <w:proofErr w:type="spellEnd"/>
      <w:r>
        <w:t xml:space="preserve"> il mandato legislativo di ARERA, focalizzato sull’utente finale, è evidente che ciò comporta per l’Autorità un carico di lavoro che è stato forse sottostimato. Ancora al 31/12/2023, risultavano definitivamente approvati i piani tariffari 2020-2021 solo per circa 344 comuni (su circa 8.000), con una popolazione complessiva di 16 M di abitanti (27,2% del totale); per il biennio successivo, il numero di comuni si riduce a 133, con 12 M di abitanti serviti (20,7% del totale</w:t>
      </w:r>
      <w:r w:rsidR="00C86CDA">
        <w:t>)</w:t>
      </w:r>
      <w:r w:rsidR="00400D88">
        <w:t xml:space="preserve"> (ARERA, 2024a)</w:t>
      </w:r>
      <w:r>
        <w:t>. Se l’iter è pressoché completo per i comuni con più di 200.000 abitanti, il traguardo è ancora molto lontano per quelli più piccoli</w:t>
      </w:r>
      <w:r w:rsidR="003139F7">
        <w:t>. Questi n</w:t>
      </w:r>
      <w:r w:rsidR="00C86CDA">
        <w:t xml:space="preserve">umeri </w:t>
      </w:r>
      <w:r w:rsidR="003139F7">
        <w:t>fanno</w:t>
      </w:r>
      <w:r w:rsidR="00C86CDA">
        <w:t xml:space="preserve"> </w:t>
      </w:r>
      <w:r w:rsidR="003139F7">
        <w:t>dubitare de</w:t>
      </w:r>
      <w:r w:rsidR="00C86CDA">
        <w:t>ll’effettiva capacità di ARERA di portare a termine in tempi ragionevoli un compito di tale dimensione.</w:t>
      </w:r>
    </w:p>
    <w:p w14:paraId="4109016F" w14:textId="48D93A2D" w:rsidR="000E7D61" w:rsidRDefault="003D0487" w:rsidP="003D0487">
      <w:r>
        <w:t>Al di là di questo problema più “tecnico”, la regolazione ARERA va in questo modo a interferire con quella relativa alla finanza locale, determinando non poche situazioni di potenziale conflitto con le regole di questa (basti pensare al riconoscimento dell’IVA, che per l’ente locale è un costo che tuttavia il MTR consente di recuperare solo con due anni di ritardo). In molti casi si sono verificati problemi legati all’incoerenza tra i tempi della regolazione ARERA e quelli per la presentazione dei bilanci comunali.</w:t>
      </w:r>
    </w:p>
    <w:p w14:paraId="463B816D" w14:textId="77777777" w:rsidR="007C300D" w:rsidRDefault="007C300D" w:rsidP="003D0487">
      <w:r>
        <w:t>Un</w:t>
      </w:r>
      <w:r w:rsidR="003D0487">
        <w:t xml:space="preserve"> possibile beneficio di un tale approccio è quello di riportare anche le attività svolte direttamente dal comune nel perimetro regolato, consentendo una più precisa individuazione dei costi da coprire in tariffa: un vantaggio magro, considerando che i costi per questa sola attività incidono per circa il 3% del costo totale. </w:t>
      </w:r>
    </w:p>
    <w:p w14:paraId="747983C4" w14:textId="15449361" w:rsidR="007C300D" w:rsidRDefault="007C300D" w:rsidP="007304D4">
      <w:r>
        <w:t xml:space="preserve">Un argomento più convincente potrebbe riguardare, piuttosto, il tema della morosità. </w:t>
      </w:r>
      <w:r w:rsidR="00073C43">
        <w:t>L</w:t>
      </w:r>
      <w:r w:rsidR="008507AD">
        <w:t xml:space="preserve">a TARI presenta tassi di evasione particolarmente elevati, stimati in media a poco meno del 30% e con le consuete differenze tra Nord e Sud (UPB, 2024). </w:t>
      </w:r>
      <w:proofErr w:type="gramStart"/>
      <w:r>
        <w:t>E’</w:t>
      </w:r>
      <w:proofErr w:type="gramEnd"/>
      <w:r>
        <w:t xml:space="preserve"> senz’altro possibile che l’introduzione di adempimenti sempre più gravosi </w:t>
      </w:r>
      <w:r w:rsidR="008507AD">
        <w:t xml:space="preserve">e standard elevati di qualità contrattuale </w:t>
      </w:r>
      <w:r>
        <w:t>in capo al responsabile del rapporto con l’utente finisca</w:t>
      </w:r>
      <w:r w:rsidR="003139F7">
        <w:t>no</w:t>
      </w:r>
      <w:r>
        <w:t xml:space="preserve"> per convincere i comuni</w:t>
      </w:r>
      <w:r w:rsidR="008507AD">
        <w:t>, specie quelli più piccoli,</w:t>
      </w:r>
      <w:r>
        <w:t xml:space="preserve"> a trasferire ai gestori anche quest’attività. </w:t>
      </w:r>
      <w:r w:rsidR="00073C43">
        <w:t>P</w:t>
      </w:r>
      <w:r w:rsidR="008507AD">
        <w:t>otrebbe</w:t>
      </w:r>
      <w:r>
        <w:t xml:space="preserve"> </w:t>
      </w:r>
      <w:r w:rsidR="00073C43">
        <w:t xml:space="preserve">così </w:t>
      </w:r>
      <w:r>
        <w:t>migliorare l’efficienza della riscossione (migliore gestione delle anagrafiche</w:t>
      </w:r>
      <w:r w:rsidR="008507AD">
        <w:t>, maggiore incisività del recupero crediti).</w:t>
      </w:r>
      <w:r>
        <w:t xml:space="preserve"> </w:t>
      </w:r>
      <w:r w:rsidR="008507AD">
        <w:t>Difficilmente questa spinta sarà sufficiente per motivare i comuni ad abbandonare il regime tributario introducendo forme di tariffazione diretta.</w:t>
      </w:r>
    </w:p>
    <w:p w14:paraId="3535323F" w14:textId="40D49C71" w:rsidR="0067154D" w:rsidRDefault="008507AD" w:rsidP="0067154D">
      <w:r>
        <w:t>I</w:t>
      </w:r>
      <w:r w:rsidR="0067154D">
        <w:t xml:space="preserve">n </w:t>
      </w:r>
      <w:r w:rsidR="003139F7">
        <w:t>compenso</w:t>
      </w:r>
      <w:r w:rsidR="00C41034">
        <w:t>,</w:t>
      </w:r>
      <w:r w:rsidR="0067154D">
        <w:t xml:space="preserve"> </w:t>
      </w:r>
      <w:r w:rsidR="003139F7">
        <w:t xml:space="preserve">il rovescio della medaglia è che </w:t>
      </w:r>
      <w:r w:rsidR="0067154D">
        <w:t xml:space="preserve">ambiti territoriali già di fatto integrati e affidati ad un unico operatore devono essere di nuovo artificiosamente smembrati, costringendo i gestori ad arbitrarie ricostruzioni ex-post che finiscono, complice il </w:t>
      </w:r>
      <w:r w:rsidR="0067154D" w:rsidRPr="007C70C4">
        <w:rPr>
          <w:i/>
          <w:iCs/>
        </w:rPr>
        <w:t>price-cap</w:t>
      </w:r>
      <w:r w:rsidR="0067154D">
        <w:t xml:space="preserve"> applicato separatamente </w:t>
      </w:r>
      <w:r w:rsidR="00C41034">
        <w:t>in</w:t>
      </w:r>
      <w:r w:rsidR="0067154D">
        <w:t xml:space="preserve"> ciascun ambito tariffario, per cristallizzare lo status quo, anche quando inadatto a consentire un equo riparto dei costi tra i comuni. Anziché favorire e accelerare il consolidamento delle gestioni integrate si finisce in tal modo per ostacolarlo, perpetuando situazioni di disparità tariffaria tra realtà limitrofe facenti parte del medesimo ambito di gestione.</w:t>
      </w:r>
    </w:p>
    <w:p w14:paraId="5627EC39" w14:textId="666C5538" w:rsidR="00DF6E1E" w:rsidRDefault="003D0487" w:rsidP="00DF6E1E">
      <w:r>
        <w:t xml:space="preserve">La scelta di approvare quasi 8.000 piani tariffari separati appare oltre tutto ancora meno comprensibile alla luce del modello adottato nel settore idrico, dove è ben possibile che un gestore operi su una pluralità di ambiti tariffari, con strutture e livelli di tariffa anche diversificati, ma approvati all’interno di un procedimento </w:t>
      </w:r>
      <w:r>
        <w:lastRenderedPageBreak/>
        <w:t>unitario riferito al soggetto gestore; il piano integrato svolge semmai la funzione di guidare il processo di convergenza verso una struttura tariffaria unica d’ambito, favorendo il consolidamento territoriale.</w:t>
      </w:r>
    </w:p>
    <w:p w14:paraId="7C589299" w14:textId="2845F456" w:rsidR="00CB0D49" w:rsidRDefault="002E230C" w:rsidP="003331D2">
      <w:pPr>
        <w:pStyle w:val="Titolo3"/>
      </w:pPr>
      <w:r>
        <w:t>Gestione integrata</w:t>
      </w:r>
      <w:r w:rsidR="00DF6E1E">
        <w:t xml:space="preserve"> e modello di affidamento: concessione o appalto di servizi?</w:t>
      </w:r>
    </w:p>
    <w:p w14:paraId="433B4DDB" w14:textId="0FAC9A5B" w:rsidR="00B75C34" w:rsidRDefault="003139F7" w:rsidP="00CB0D49">
      <w:r>
        <w:t xml:space="preserve">Tra le critiche all’operato di ARERA contenute nel ddl </w:t>
      </w:r>
      <w:proofErr w:type="spellStart"/>
      <w:r>
        <w:t>Fazzone</w:t>
      </w:r>
      <w:proofErr w:type="spellEnd"/>
      <w:r>
        <w:t xml:space="preserve"> vi è quella di</w:t>
      </w:r>
      <w:r w:rsidR="00B75C34">
        <w:t xml:space="preserve"> aver favorito </w:t>
      </w:r>
      <w:r w:rsidR="00196AF8">
        <w:t>il generalizzarsi</w:t>
      </w:r>
      <w:r w:rsidR="00B75C34">
        <w:t xml:space="preserve"> di un modello di affidamento di tipo concessorio, rispetto al più tradizionale appalto di servizi</w:t>
      </w:r>
      <w:r w:rsidR="00196AF8">
        <w:t>.</w:t>
      </w:r>
      <w:r>
        <w:t xml:space="preserve"> Ciò avrebbe favorito gli operatori in grado di concorrere per i contratti di concessione – le multiutility quotate – e il modello dell’affidamento in-house, a scapito della concorrenza.</w:t>
      </w:r>
    </w:p>
    <w:p w14:paraId="6BAA4D8D" w14:textId="28A20470" w:rsidR="003139F7" w:rsidRDefault="003139F7" w:rsidP="00CB0D49">
      <w:r>
        <w:t>Si tratta di una critica che coglie apparentemente nel segno – basti osservare l’assetto emergente del settore, sia nel comparto M1 che M2, di cui abbiamo discusso nel par. 3. Tuttavia, essa rischia di essere fuorviante e confondere la causa con l’effetto.</w:t>
      </w:r>
    </w:p>
    <w:p w14:paraId="181C5C92" w14:textId="5F0CF8AB" w:rsidR="00B65A7F" w:rsidRDefault="00196AF8" w:rsidP="00CB0D49">
      <w:proofErr w:type="gramStart"/>
      <w:r>
        <w:t>E’</w:t>
      </w:r>
      <w:proofErr w:type="gramEnd"/>
      <w:r>
        <w:t xml:space="preserve"> ben vero che nel resto d’Europa</w:t>
      </w:r>
      <w:r w:rsidR="00CB0D49">
        <w:t xml:space="preserve"> </w:t>
      </w:r>
      <w:r>
        <w:t xml:space="preserve">è </w:t>
      </w:r>
      <w:r w:rsidR="003139F7">
        <w:t>il</w:t>
      </w:r>
      <w:r>
        <w:t xml:space="preserve"> </w:t>
      </w:r>
      <w:r w:rsidR="00CB0D49">
        <w:t xml:space="preserve">modello </w:t>
      </w:r>
      <w:r w:rsidR="003139F7">
        <w:t xml:space="preserve">dell’appalto di servizi </w:t>
      </w:r>
      <w:r>
        <w:t>ad essere prevalente</w:t>
      </w:r>
      <w:r w:rsidR="00B65A7F">
        <w:t>, ma va rimarcato che questo modello funziona – relativamente – bene laddove altri soggetti, tipicamente collocati ad altre scale territoriali, garantiscono la destinazione dei rifiuti raccolti</w:t>
      </w:r>
      <w:r w:rsidR="008507AD">
        <w:t>, ossia quando</w:t>
      </w:r>
      <w:r w:rsidR="00B65A7F">
        <w:t xml:space="preserve"> </w:t>
      </w:r>
      <w:r w:rsidR="003D0874">
        <w:t xml:space="preserve">dal </w:t>
      </w:r>
      <w:r w:rsidR="00C41034">
        <w:t xml:space="preserve">perimetro del </w:t>
      </w:r>
      <w:r w:rsidR="003D0874">
        <w:t xml:space="preserve">servizio </w:t>
      </w:r>
      <w:r w:rsidR="00C41034">
        <w:t xml:space="preserve">messo in gara </w:t>
      </w:r>
      <w:r w:rsidR="007622C4">
        <w:t xml:space="preserve">risultano escluse </w:t>
      </w:r>
      <w:r w:rsidR="008507AD">
        <w:t>sia le attività M2 che M3</w:t>
      </w:r>
      <w:r w:rsidR="007622C4">
        <w:t xml:space="preserve">. Significativamente, </w:t>
      </w:r>
      <w:r w:rsidR="00890FAE">
        <w:t>nel</w:t>
      </w:r>
      <w:r w:rsidR="007622C4">
        <w:t xml:space="preserve">l’unico paese in cui prevale un modello “integrato” che assegna al comune anche la responsabilità di </w:t>
      </w:r>
      <w:r w:rsidR="00C41034">
        <w:t>assicurare una destinazione a</w:t>
      </w:r>
      <w:r w:rsidR="00890FAE">
        <w:t>i rifiuti a valle della raccolta</w:t>
      </w:r>
      <w:r w:rsidR="00C41034">
        <w:t xml:space="preserve">, la Francia, </w:t>
      </w:r>
      <w:r w:rsidR="00890FAE">
        <w:t>prevale un modello di tipo concessorio (</w:t>
      </w:r>
      <w:proofErr w:type="spellStart"/>
      <w:r w:rsidR="00890FAE" w:rsidRPr="00482AAE">
        <w:rPr>
          <w:i/>
          <w:iCs/>
        </w:rPr>
        <w:t>gestion</w:t>
      </w:r>
      <w:proofErr w:type="spellEnd"/>
      <w:r w:rsidR="00890FAE" w:rsidRPr="00482AAE">
        <w:rPr>
          <w:i/>
          <w:iCs/>
        </w:rPr>
        <w:t xml:space="preserve"> </w:t>
      </w:r>
      <w:proofErr w:type="spellStart"/>
      <w:r w:rsidR="00890FAE" w:rsidRPr="00482AAE">
        <w:rPr>
          <w:i/>
          <w:iCs/>
        </w:rPr>
        <w:t>d</w:t>
      </w:r>
      <w:r w:rsidR="00482AAE">
        <w:rPr>
          <w:i/>
          <w:iCs/>
        </w:rPr>
        <w:t>é</w:t>
      </w:r>
      <w:r w:rsidR="00890FAE" w:rsidRPr="00482AAE">
        <w:rPr>
          <w:i/>
          <w:iCs/>
        </w:rPr>
        <w:t>l</w:t>
      </w:r>
      <w:r w:rsidR="00482AAE">
        <w:rPr>
          <w:i/>
          <w:iCs/>
        </w:rPr>
        <w:t>é</w:t>
      </w:r>
      <w:r w:rsidR="00890FAE" w:rsidRPr="00482AAE">
        <w:rPr>
          <w:i/>
          <w:iCs/>
        </w:rPr>
        <w:t>gué</w:t>
      </w:r>
      <w:r w:rsidR="00482AAE">
        <w:rPr>
          <w:i/>
          <w:iCs/>
        </w:rPr>
        <w:t>e</w:t>
      </w:r>
      <w:proofErr w:type="spellEnd"/>
      <w:r w:rsidR="00890FAE">
        <w:t xml:space="preserve">) che </w:t>
      </w:r>
      <w:r w:rsidR="007622C4">
        <w:t>ha visto affermarsi una sorta di oligopolio molto concentrato (</w:t>
      </w:r>
      <w:proofErr w:type="spellStart"/>
      <w:r w:rsidR="007622C4">
        <w:t>Djemaci</w:t>
      </w:r>
      <w:proofErr w:type="spellEnd"/>
      <w:r w:rsidR="007622C4">
        <w:t>, 2007)</w:t>
      </w:r>
      <w:r w:rsidR="00890FAE">
        <w:t>.</w:t>
      </w:r>
    </w:p>
    <w:p w14:paraId="6BAB747E" w14:textId="042AAB4B" w:rsidR="00CB0D49" w:rsidRDefault="00890FAE" w:rsidP="00CB0D49">
      <w:r>
        <w:t xml:space="preserve">In Italia, </w:t>
      </w:r>
      <w:r w:rsidR="00C41034">
        <w:t xml:space="preserve">come si è visto nel par. 3, </w:t>
      </w:r>
      <w:r w:rsidR="00482AAE">
        <w:t>un simile</w:t>
      </w:r>
      <w:r>
        <w:t xml:space="preserve"> modello </w:t>
      </w:r>
      <w:r w:rsidR="00CB0D49">
        <w:t xml:space="preserve">si è dimostrato </w:t>
      </w:r>
      <w:r>
        <w:t xml:space="preserve">fragile e poco risolutivo. </w:t>
      </w:r>
      <w:r w:rsidR="00C41034">
        <w:t>Dove non</w:t>
      </w:r>
      <w:r>
        <w:t xml:space="preserve"> si è trovata una soluzione integrata </w:t>
      </w:r>
      <w:r w:rsidR="00C41034">
        <w:t xml:space="preserve">per </w:t>
      </w:r>
      <w:r>
        <w:t xml:space="preserve">iniziativa delle </w:t>
      </w:r>
      <w:r w:rsidRPr="00482AAE">
        <w:rPr>
          <w:i/>
          <w:iCs/>
        </w:rPr>
        <w:t>utility</w:t>
      </w:r>
      <w:r>
        <w:t xml:space="preserve"> pubbliche (in particolare quelle che hanno dato poi origine ai vari gruppi quotati), il sistema si è rivelato </w:t>
      </w:r>
      <w:r w:rsidR="00CB0D49">
        <w:t xml:space="preserve">vulnerabile, finendo regolarmente nell’emergenza quando il piano fallisce nei suoi scopi, come avvenuto qualche anno fa in Campania, e oggi in Lazio: con il risultato di rendere indispensabile la soluzione commissariale. Il perdurante deficit impiantistico del Centro-Sud e i ritardi nello sviluppo delle raccolte differenziate stanno a testimoniare la minore efficacia di questa soluzione nel nostro Paese. </w:t>
      </w:r>
    </w:p>
    <w:p w14:paraId="69CD058A" w14:textId="6617F71C" w:rsidR="00A52C8C" w:rsidRDefault="00CB0D49" w:rsidP="00CB0D49">
      <w:r>
        <w:t xml:space="preserve">Dove è operativo un adeguato sistema di impianti – come in Lombardia e nella Provincia di Bolzano – piccole gestioni organizzate con modalità tradizionali possono beneficiare della maggiore concorrenza e, allo stesso tempo, garantire standard di servizio elevati. </w:t>
      </w:r>
      <w:r w:rsidR="00A52C8C">
        <w:t>Di più: non controllando direttamente capacità di trattamento negli impianti di chiusura del ciclo (WtE) hanno tutto l’interesse a minimizzare il ricorso a queste soluzioni, potenziando al massimo le raccolte differenziate e il riciclo.</w:t>
      </w:r>
    </w:p>
    <w:p w14:paraId="2BA0E4C9" w14:textId="5E8C3B0F" w:rsidR="00CB0D49" w:rsidRDefault="006248C5" w:rsidP="00CB0D49">
      <w:r>
        <w:t xml:space="preserve">Ma </w:t>
      </w:r>
      <w:r w:rsidR="00C41034">
        <w:t>dall’analisi svolta in questo articolo risulta</w:t>
      </w:r>
      <w:r>
        <w:t xml:space="preserve"> evidente che ciò è possibile proprio perché nel resto del sistema si è affermato un modello </w:t>
      </w:r>
      <w:r w:rsidR="00B75C34">
        <w:t>industriale</w:t>
      </w:r>
      <w:r w:rsidR="0090642F">
        <w:t xml:space="preserve"> fortemente concentrato</w:t>
      </w:r>
      <w:r w:rsidR="00B75C34">
        <w:t>, nei cui interstizi realtà più piccole possono trovare qualche nicchia di mercato</w:t>
      </w:r>
      <w:r w:rsidR="00890FAE">
        <w:t>.</w:t>
      </w:r>
    </w:p>
    <w:p w14:paraId="7CA5BC7E" w14:textId="7BAE16AD" w:rsidR="004757C4" w:rsidRDefault="00B27D0D" w:rsidP="004757C4">
      <w:r>
        <w:t xml:space="preserve">Non è stata la regolazione ARERA a determinare questa situazione, che già preesisteva, anche se è indubbio che il suo approccio regolatorio è modellato su di essa, tendendo a marginalizzare le realtà dove ancora </w:t>
      </w:r>
      <w:r w:rsidR="00C41034">
        <w:t>persiste</w:t>
      </w:r>
      <w:r>
        <w:t xml:space="preserve"> quello che abbiamo chiamato “modello tradizionale”.</w:t>
      </w:r>
      <w:r w:rsidR="00400D88">
        <w:t xml:space="preserve"> Questa transizione è peraltro esplicitamente prevista dal legislatore nazionale; suona quindi piuttosto singolare che si accusi ARERA, in pratica, di voler favorire proprio ciò che il legislatore persegue.</w:t>
      </w:r>
    </w:p>
    <w:p w14:paraId="5D4EBA88" w14:textId="041C9FFB" w:rsidR="00B27D0D" w:rsidRDefault="002D1536" w:rsidP="002D1536">
      <w:r>
        <w:t xml:space="preserve">Ma se </w:t>
      </w:r>
      <w:r w:rsidR="00400D88">
        <w:t>questa era l’intenzione</w:t>
      </w:r>
      <w:r>
        <w:t xml:space="preserve">, il </w:t>
      </w:r>
      <w:proofErr w:type="spellStart"/>
      <w:r>
        <w:t>risutato</w:t>
      </w:r>
      <w:proofErr w:type="spellEnd"/>
      <w:r>
        <w:t xml:space="preserve"> è stato paradossalmente l’opposto. Infatti, in mancanza di una chiara definizione di cosa è da intendersi per “gestore” e per “prestatore d’opera”, gli enti locali hanno trovato il modo di scaricare le incombenze regolatorie sulle imprese appaltatrici, anche quando </w:t>
      </w:r>
      <w:r w:rsidR="00971E34">
        <w:t xml:space="preserve">sarebbe stato più corretto </w:t>
      </w:r>
      <w:r w:rsidR="001931FE">
        <w:t>identificar</w:t>
      </w:r>
      <w:r>
        <w:t>l</w:t>
      </w:r>
      <w:r w:rsidR="001931FE">
        <w:t xml:space="preserve">e come prestatori d’opera, </w:t>
      </w:r>
      <w:r>
        <w:t>assoggettandole a</w:t>
      </w:r>
      <w:r w:rsidR="001931FE">
        <w:t xml:space="preserve"> norme che potrebbero entrare in contrasto con quelle stabilite nel Codice degli appalti, senza una reale necessità, dal momento che i contratti per prestazione d’opera sono di solito assegnati su un mercato molto competitivo.</w:t>
      </w:r>
      <w:r>
        <w:t xml:space="preserve"> </w:t>
      </w:r>
    </w:p>
    <w:p w14:paraId="18FF6886" w14:textId="77777777" w:rsidR="001931FE" w:rsidRDefault="001931FE" w:rsidP="001931FE">
      <w:r>
        <w:lastRenderedPageBreak/>
        <w:t xml:space="preserve">Oltre tutto, si deve considerare che il modello previsto da ARERA per l’individuazione dei costi ammissibili, basandosi sul riscontro contabile con un ritardo di due anni, genera molteplici difficoltà in caso di transizione da un gestore all’altro. Infatti, al gestore uscente spettano poste di conguaglio relative agli eventuali maggiori costi sostenuti nell’ultimo biennio, per i quali tuttavia non vi è certezza che il subentrante potrà effettivamente coprirli con entrate tariffarie corrispondenti (per il meccanismo visto sopra). Si deve tenere poi conto di tutti gli asset, non solo fisici ma anche immateriali, che possono/debbono transitare al nuovo gestore o che il gestore uscente avrà diritto/dovere di trattenere. Simili problemi sono contestuali al rinnovo degli affidamenti, e quindi si moltiplicano con la frequenza degli avvicendamenti. </w:t>
      </w:r>
    </w:p>
    <w:p w14:paraId="3498EF95" w14:textId="37977D23" w:rsidR="005C3FF9" w:rsidRDefault="001931FE" w:rsidP="00B27D0D">
      <w:r>
        <w:t>Riteniamo che si sarebbe potuto optare per una soluzione più semplice e lineare</w:t>
      </w:r>
      <w:r w:rsidR="002D1536">
        <w:t xml:space="preserve"> (e anche più coerente con le finalità dichiarate)</w:t>
      </w:r>
      <w:r>
        <w:t xml:space="preserve">, stabilendo che la fattispecie di “gestore” (assoggettato alla regolazione, diversamente dal “prestatore d’opera”) sia limitata ai casi in cui l’affidamento comporta rilevanti responsabilità e connessi rischi di impresa, </w:t>
      </w:r>
      <w:r w:rsidR="002D1536">
        <w:t>e assimilando</w:t>
      </w:r>
      <w:r>
        <w:t xml:space="preserve"> </w:t>
      </w:r>
      <w:r w:rsidR="002D1536">
        <w:t xml:space="preserve">a prestazioni d’opera </w:t>
      </w:r>
      <w:r>
        <w:t xml:space="preserve">gli affidamenti di durata inferiore a un congruo tempo minimo (es. </w:t>
      </w:r>
      <w:r w:rsidR="005C3FF9">
        <w:t>8</w:t>
      </w:r>
      <w:r>
        <w:t xml:space="preserve"> anni). </w:t>
      </w:r>
    </w:p>
    <w:p w14:paraId="6C8AB0FB" w14:textId="3363B2DC" w:rsidR="00B27D0D" w:rsidRDefault="001931FE" w:rsidP="00B27D0D">
      <w:r>
        <w:t xml:space="preserve">Una simile soluzione comporterebbe </w:t>
      </w:r>
      <w:r w:rsidR="006D6717">
        <w:t xml:space="preserve">il </w:t>
      </w:r>
      <w:r>
        <w:t xml:space="preserve">beneficio di stimolare l’ETC a procedere verso forme di affidamento che </w:t>
      </w:r>
      <w:r w:rsidR="00B37645">
        <w:t>consentano di attribuire al concessionario lo status di gestore e i relativi adempimenti regolatori.</w:t>
      </w:r>
      <w:r w:rsidR="005C3FF9">
        <w:t xml:space="preserve"> Né in tal modo si ridurrebbe lo spazio del mercato: saranno semmai i soggetti gestori individuati nelle forme previste dal Dlgs 201/2022 ad esternalizzare tramite appalti di servizi le attività </w:t>
      </w:r>
      <w:r w:rsidR="002C3185">
        <w:t>in precedenza</w:t>
      </w:r>
      <w:r w:rsidR="005C3FF9">
        <w:t xml:space="preserve"> affidate dai singoli comuni, in modo peraltro dispersivo e poco organizzato; come abbiamo mostrato sopra, esiste già una chiara linea di tendenza in questa direzione da parte di tutti gli operatori</w:t>
      </w:r>
      <w:r w:rsidR="00B344AE">
        <w:t>, a cominciare dalle imprese pubbliche.</w:t>
      </w:r>
    </w:p>
    <w:p w14:paraId="36ACDA1A" w14:textId="3DD711B7" w:rsidR="00ED46A4" w:rsidRDefault="007760DF" w:rsidP="003331D2">
      <w:pPr>
        <w:pStyle w:val="Titolo3"/>
      </w:pPr>
      <w:r>
        <w:t>Profit-sharing: un incentivo da ripensare</w:t>
      </w:r>
    </w:p>
    <w:p w14:paraId="6A90B15D" w14:textId="6EF343FF" w:rsidR="009D6094" w:rsidRDefault="009D6094" w:rsidP="00D832B8">
      <w:r>
        <w:t xml:space="preserve">Il meccanismo del profit-sharing, ispirato a quello applicato nel settore idrico, prevede che il gestore deduca dalle entrate tariffarie solo una frazione dei ricavi conseguiti dalla vendita dei materiali avviati al riciclo e, più in generale, dei ricavi ottenuti dalla valorizzazione dei RU raccolti (anche sotto forma di energia elettrica, calore, biocombustibili, compost o altro), ovvero dall’impiego di asset appartenenti al perimetro regolato (es. raccolta di rifiuti speciali avvalendosi di mezzi e attrezzature del servizio pubblico). Tale frazione è determinata in modo variabile a seconda del tipo di ricavo (in particolare, se questo si origini dal mercato ovvero dai sistemi di </w:t>
      </w:r>
      <w:r w:rsidRPr="000E7D61">
        <w:rPr>
          <w:i/>
          <w:iCs/>
        </w:rPr>
        <w:t>compliance</w:t>
      </w:r>
      <w:r>
        <w:t>) e a seconda del valore assunto dall’indicatore di qualità della raccolta differenziata.</w:t>
      </w:r>
    </w:p>
    <w:p w14:paraId="1C622A63" w14:textId="2F8BF2DE" w:rsidR="009D6094" w:rsidRDefault="001C4FB6" w:rsidP="00D832B8">
      <w:r>
        <w:t>Il fine</w:t>
      </w:r>
      <w:r w:rsidR="009D6094">
        <w:t xml:space="preserve"> è certamente lodevole, ma lo strumento si presta a facili distorsioni. </w:t>
      </w:r>
      <w:proofErr w:type="gramStart"/>
      <w:r w:rsidR="009D6094">
        <w:t>E’</w:t>
      </w:r>
      <w:proofErr w:type="gramEnd"/>
      <w:r w:rsidR="009D6094">
        <w:t xml:space="preserve"> sufficiente, ad esempio che un gestore non provveda direttamente alla valorizzazione ma ceda i materiali, a prezzo convenuto, a una società esterna, affinché questa possa lucrare l’intero margine</w:t>
      </w:r>
      <w:r w:rsidR="00724605">
        <w:t>.</w:t>
      </w:r>
      <w:r w:rsidR="00794564">
        <w:t xml:space="preserve"> Imprese che possiedono impianti per la nobilitazione dei materiali possono effettuare le raccolte differenziate per corrispettivi inferiori al costo</w:t>
      </w:r>
      <w:r w:rsidR="007760DF">
        <w:t>, spiazzando gli operatori che invece sono specializzati nella sola raccolta.</w:t>
      </w:r>
      <w:r w:rsidR="00794564">
        <w:t xml:space="preserve"> </w:t>
      </w:r>
      <w:r w:rsidR="00724605">
        <w:t xml:space="preserve"> </w:t>
      </w:r>
    </w:p>
    <w:p w14:paraId="770C94F0" w14:textId="2C0AEB72" w:rsidR="00D832B8" w:rsidRDefault="00DF6E1E" w:rsidP="00D832B8">
      <w:r>
        <w:t>Analogamente, molti contratti prevedono che</w:t>
      </w:r>
      <w:r w:rsidR="00D832B8">
        <w:t xml:space="preserve"> il prestatore d’opera acquisi</w:t>
      </w:r>
      <w:r>
        <w:t>sca</w:t>
      </w:r>
      <w:r w:rsidR="00D832B8">
        <w:t xml:space="preserve"> la proprietà dei materiali raccolti in modo differenziato, avvalendosi poi di propri impianti per avviarli al riciclo, ricreando quindi un modello verticalmente integrato. In questo modo gli operatori possono far valere la propria capacità industriale di ottenere materiali rivendibili a condizioni più vantaggiose (sia ai consorzi di filiera che direttamente al mercato), della quale sono invece privi gli enti locali.</w:t>
      </w:r>
    </w:p>
    <w:p w14:paraId="39F74E7B" w14:textId="38EC8D64" w:rsidR="00DF6E1E" w:rsidRDefault="00DF6E1E" w:rsidP="00D832B8">
      <w:r>
        <w:t>D’altra parte, quando invece è l’impresa regolata a commercializzare i materiali raccolti, come ARERA si aspetta</w:t>
      </w:r>
      <w:r w:rsidR="0047198B">
        <w:t xml:space="preserve"> che accada</w:t>
      </w:r>
      <w:r>
        <w:t xml:space="preserve">, il gestore ottiene un profitto garantito: tutti i costi sostenuti sono infatti inclusi nei costi ammessi al recupero, mentre la quota di ricavi trattenuta rappresenta una sorta di seconda remunerazione. La distorsione è evidente se consideriamo la possibilità di decidere se cedere ai consorzi i materiali così come escono dalla raccolta differenziata (con un livello di qualità basso), oppure svolgere in proprio attività di “nobilitazione” in vista di un ricavo maggiore. Delle due l’una: se i costi per la nobilitazione vengono coperti </w:t>
      </w:r>
      <w:r>
        <w:lastRenderedPageBreak/>
        <w:t>dalla tariffa, allora non si dovrebbe riconoscere alcuna maggiorazione del contributo CONAI; viceversa, se questo viene maggiorato</w:t>
      </w:r>
      <w:r w:rsidR="00574A20">
        <w:t>, allora dovrebbe essere al più corrisposta la sola differenza tra i costi aggiuntivi sostenuti dal gestore e tale maggiorazione.</w:t>
      </w:r>
    </w:p>
    <w:p w14:paraId="455E5396" w14:textId="25535796" w:rsidR="007760DF" w:rsidRDefault="007760DF" w:rsidP="007760DF">
      <w:r>
        <w:t xml:space="preserve">Lo stesso Consiglio di Stato ha rilevato </w:t>
      </w:r>
      <w:r w:rsidR="006363C0">
        <w:t xml:space="preserve">che </w:t>
      </w:r>
      <w:r w:rsidR="00574A20">
        <w:t>il profit-sharing</w:t>
      </w:r>
      <w:r w:rsidR="006363C0">
        <w:t xml:space="preserve"> remunera </w:t>
      </w:r>
      <w:r w:rsidR="00574A20">
        <w:t xml:space="preserve">il raccoglitore </w:t>
      </w:r>
      <w:r w:rsidR="006363C0">
        <w:t>due volte, ricevendo un ingiusto favore</w:t>
      </w:r>
      <w:r w:rsidR="00574A20">
        <w:t xml:space="preserve"> rispetto a chi intendesse svolgere tale attività sul mercato</w:t>
      </w:r>
      <w:r w:rsidR="006363C0">
        <w:rPr>
          <w:rStyle w:val="Rimandonotaapidipagina"/>
        </w:rPr>
        <w:footnoteReference w:id="4"/>
      </w:r>
      <w:r w:rsidR="006363C0">
        <w:t>; in risposta, ARERA ha disposto</w:t>
      </w:r>
      <w:r w:rsidR="00574A20">
        <w:t xml:space="preserve"> di sottrarre dai costi riconosciuti i costi di nobilitazione, solo però nel caso esaminato dal giudice </w:t>
      </w:r>
      <w:r w:rsidR="005D1ED6">
        <w:t xml:space="preserve">amministrativo </w:t>
      </w:r>
      <w:r w:rsidR="00574A20">
        <w:t>(relativo alla plastica</w:t>
      </w:r>
      <w:r w:rsidR="005D1ED6">
        <w:t xml:space="preserve"> monomateriale</w:t>
      </w:r>
      <w:r w:rsidR="00574A20">
        <w:t>)</w:t>
      </w:r>
      <w:r w:rsidR="005D1ED6">
        <w:t>. Si offre in tal modo un incentivo distorto a determinate raccolte (es. imballaggio multimateriale) rispetto ad altre, in modo poco logico.</w:t>
      </w:r>
    </w:p>
    <w:p w14:paraId="74E6ED22" w14:textId="172E7636" w:rsidR="007760DF" w:rsidRDefault="005D1ED6" w:rsidP="00D832B8">
      <w:r>
        <w:t xml:space="preserve">D’altra parte, </w:t>
      </w:r>
      <w:r w:rsidR="007760DF">
        <w:t>l’incentivo offerto dal profit-sharing è spesso più virtuale che reale. Nella prassi, molti ETC si sono avvalsi della possibilità di ridurre unilateralmente le entrate di riferimento per limare, fino a ridurre a zero, il margine offerto dall’incentivo, e anche quando non l’hanno fatto esplicitamente, vi ha provveduto il price-cap</w:t>
      </w:r>
      <w:r w:rsidR="00574A20">
        <w:t xml:space="preserve"> che, come sopra ricordato, potrebbe fermare la tariffa applicabile ben al di sotto delle “entrate di riferimento</w:t>
      </w:r>
      <w:r w:rsidR="007760DF">
        <w:t xml:space="preserve">. </w:t>
      </w:r>
    </w:p>
    <w:p w14:paraId="79703F9F" w14:textId="6EEDF29E" w:rsidR="00A46842" w:rsidRDefault="007760DF" w:rsidP="00D832B8">
      <w:r>
        <w:t xml:space="preserve">Occorre </w:t>
      </w:r>
      <w:r w:rsidR="005D1ED6">
        <w:t xml:space="preserve">a nostro avviso </w:t>
      </w:r>
      <w:r>
        <w:t xml:space="preserve">ripensare integralmente il meccanismo. </w:t>
      </w:r>
      <w:r w:rsidR="00AE2D11">
        <w:t xml:space="preserve">Per farlo è necessario affrontare simultaneamente e in modo organico il lato delle tariffe e quello dei corrispettivi pagati da CONAI, </w:t>
      </w:r>
      <w:r>
        <w:t>part</w:t>
      </w:r>
      <w:r w:rsidR="00AE2D11">
        <w:t>endo</w:t>
      </w:r>
      <w:r>
        <w:t xml:space="preserve"> dal dettato normativo </w:t>
      </w:r>
      <w:r w:rsidR="00AE2D11">
        <w:t>che prevede</w:t>
      </w:r>
      <w:r>
        <w:t xml:space="preserve">, a regime, </w:t>
      </w:r>
      <w:r w:rsidR="00AE2D11">
        <w:t>l’attribuzione ai produttori de</w:t>
      </w:r>
      <w:r>
        <w:t>l costo pieno del recupero di materia (incluse, quindi, le raccolte differenziate e selettive).</w:t>
      </w:r>
    </w:p>
    <w:p w14:paraId="39547B48" w14:textId="1BCCD610" w:rsidR="00AE2D11" w:rsidRDefault="009D6094" w:rsidP="00D832B8">
      <w:r>
        <w:t>Una proposta che avanziamo è quella di pre</w:t>
      </w:r>
      <w:r w:rsidR="00A46842">
        <w:t xml:space="preserve">vedere la deduzione integrale di un corrispettivo pari all’importo della fascia di qualità minima prevista dall’accordo ANCI-CONAI, escludendo contestualmente </w:t>
      </w:r>
      <w:r w:rsidR="00AE2D11">
        <w:t xml:space="preserve">dal perimetro regolato </w:t>
      </w:r>
      <w:r w:rsidR="00A46842">
        <w:t xml:space="preserve">tutte le attività di nobilitazione dal perimetro dei costi </w:t>
      </w:r>
      <w:proofErr w:type="gramStart"/>
      <w:r w:rsidR="00A46842">
        <w:t>riconosciuti</w:t>
      </w:r>
      <w:r w:rsidR="002C3185">
        <w:t xml:space="preserve"> .</w:t>
      </w:r>
      <w:proofErr w:type="gramEnd"/>
      <w:r w:rsidR="005D1ED6">
        <w:t xml:space="preserve"> </w:t>
      </w:r>
      <w:r w:rsidR="00AE2D11">
        <w:t xml:space="preserve">Questo corrispettivo potrebbe essere determinato sulla base di un costo standard della raccolta </w:t>
      </w:r>
      <w:proofErr w:type="spellStart"/>
      <w:r w:rsidR="00AE2D11">
        <w:t>differenzaiata</w:t>
      </w:r>
      <w:proofErr w:type="spellEnd"/>
      <w:r w:rsidR="00AE2D11">
        <w:t>, anche variabile in funzione di parametri oggettivi che influiscono sul costo, in modo da non sfavorire le aree del territorio meno vocate.</w:t>
      </w:r>
    </w:p>
    <w:p w14:paraId="23733722" w14:textId="3981883E" w:rsidR="00A46842" w:rsidRDefault="002C3185" w:rsidP="00D832B8">
      <w:r>
        <w:t xml:space="preserve">Contestualmente, si dovrebbe </w:t>
      </w:r>
      <w:r w:rsidR="005D1ED6">
        <w:t xml:space="preserve">fissare il corrispettivo per le fasce di qualità superiore sulla base del solo costo evitato dal consorzio di filiera per provvedere alla stessa operazione. </w:t>
      </w:r>
      <w:r w:rsidR="00A46842">
        <w:t>In questo modo, eventuali margini di profitto potranno essere conseguiti da quegli operatori che saranno in grado di nobilitare i materiali sostenendo un costo inferiore a quello standard</w:t>
      </w:r>
      <w:r w:rsidR="006D6717">
        <w:t>.</w:t>
      </w:r>
    </w:p>
    <w:p w14:paraId="12CA1A18" w14:textId="32513566" w:rsidR="00A46842" w:rsidRDefault="001C4FB6" w:rsidP="00D832B8">
      <w:r>
        <w:t>I</w:t>
      </w:r>
      <w:r w:rsidR="00A46842">
        <w:t xml:space="preserve">l meccanismo </w:t>
      </w:r>
      <w:r>
        <w:t xml:space="preserve">andrebbe limitato </w:t>
      </w:r>
      <w:r w:rsidR="00A46842">
        <w:t xml:space="preserve">ai soli materiali destinati al riciclo, </w:t>
      </w:r>
      <w:r w:rsidR="005D1ED6">
        <w:t>escludendo le altre forme di recupero (energia, biogas in particolare), per le quali si dovrebbe stabilire un ricavo standard stimato da ARERA sulla base di parametri di mercato e dei rendimenti di impianti efficienti.</w:t>
      </w:r>
    </w:p>
    <w:p w14:paraId="23CC22CB" w14:textId="29941E91" w:rsidR="00373CF8" w:rsidRDefault="005D1ED6" w:rsidP="003331D2">
      <w:pPr>
        <w:pStyle w:val="Titolo3"/>
      </w:pPr>
      <w:r>
        <w:t>Dalle “tariffe al cancello” al “capacity market”</w:t>
      </w:r>
    </w:p>
    <w:p w14:paraId="3F353B95" w14:textId="5120995B" w:rsidR="00B344AE" w:rsidRDefault="00B344AE" w:rsidP="00373CF8">
      <w:r>
        <w:t xml:space="preserve">Come visto sopra, le principali questioni sorte a proposito delle “tariffe al cancello” riguardano i modi per individuare gli impianti “minimi” da assoggettare alla regolazione tariffaria. In un mercato in forte dinamismo, caratterizzato contemporaneamente da eccessi di capacità e strozzature di offerta, in cui </w:t>
      </w:r>
      <w:r w:rsidR="00425B65">
        <w:t>gli equilibri tra domanda e offerta possono variare notevolmente da un territorio all’altro e da un periodo all’altro, non sarebbe stato possibile applicare una soluzione uniforme.</w:t>
      </w:r>
    </w:p>
    <w:p w14:paraId="054555A8" w14:textId="77777777" w:rsidR="00425B65" w:rsidRDefault="00B344AE" w:rsidP="00373CF8">
      <w:r>
        <w:t xml:space="preserve">La soluzione adottata da ARERA, se ha risolto il problema della competenza rinviando al PNGR (anziché alle regioni) per l’individuazione degli impianti da assoggettare alla regolazione, non affronta le criticità del metodo, che invece sono a nostro avviso sostanziali. Escludendo di proposito i ricavi dalla vendita di energia e sottoprodotti dal calcolo, si ottiene infatti un’entrata di riferimento </w:t>
      </w:r>
      <w:r w:rsidR="007B776E">
        <w:t xml:space="preserve">così elevata da risultare </w:t>
      </w:r>
      <w:r>
        <w:t>priva di significato. L’unico vero vincolo è rappresentato dal price-cap</w:t>
      </w:r>
      <w:r w:rsidR="00F9722A">
        <w:t xml:space="preserve">, che quindi fa determinare l’evoluzione futura delle entrate tariffarie a quelle dell’anno precedente. </w:t>
      </w:r>
    </w:p>
    <w:p w14:paraId="2CC4D7F4" w14:textId="104E32BF" w:rsidR="00425B65" w:rsidRDefault="00F9722A" w:rsidP="00425B65">
      <w:r>
        <w:lastRenderedPageBreak/>
        <w:t>Occorre a nostro avviso ripensare integralmente la formula applicata</w:t>
      </w:r>
      <w:r w:rsidR="00425B65">
        <w:t>. Il metodo deve incoraggiare il sistema ad investire in capacità, evitando sia strategie degli incumbent che possano tendere a “cannibalizzare” il mercato scoraggiando l’entrata di nuovi operatori, sia gli eccessi di rigidità determinati dai vincoli di piano.</w:t>
      </w:r>
    </w:p>
    <w:p w14:paraId="481E3814" w14:textId="7007D651" w:rsidR="00373CF8" w:rsidRDefault="00C22EAF" w:rsidP="00F9722A">
      <w:r>
        <w:t>L</w:t>
      </w:r>
      <w:r w:rsidR="00F9722A">
        <w:t xml:space="preserve">’evoluzione in corso ci consente di ipotizzare </w:t>
      </w:r>
      <w:r>
        <w:t>modelli</w:t>
      </w:r>
      <w:r w:rsidR="00F9722A">
        <w:t xml:space="preserve"> più radical</w:t>
      </w:r>
      <w:r>
        <w:t>i</w:t>
      </w:r>
      <w:r w:rsidR="00F9722A">
        <w:t xml:space="preserve"> e incisiv</w:t>
      </w:r>
      <w:r>
        <w:t>i</w:t>
      </w:r>
      <w:r w:rsidR="00F9722A">
        <w:t xml:space="preserve">, </w:t>
      </w:r>
      <w:r w:rsidR="00373CF8">
        <w:t>analog</w:t>
      </w:r>
      <w:r>
        <w:t>hi</w:t>
      </w:r>
      <w:r w:rsidR="00373CF8">
        <w:t xml:space="preserve"> </w:t>
      </w:r>
      <w:r>
        <w:t>per certi versi a quelli sviluppati nel</w:t>
      </w:r>
      <w:r w:rsidR="00373CF8">
        <w:t xml:space="preserve"> settore elettrico: un </w:t>
      </w:r>
      <w:r w:rsidR="00373CF8" w:rsidRPr="00B736DB">
        <w:rPr>
          <w:i/>
          <w:iCs/>
        </w:rPr>
        <w:t>capacity market</w:t>
      </w:r>
      <w:r w:rsidR="00373CF8">
        <w:t xml:space="preserve"> con una certa ridondanza di offerta per scongiurare il pericolo di blackout, pronta quindi ad assorbire tutti i flussi che il mercato non saprà come valorizzare, ma sempre meno costretta dal principio di prossimità e autosufficienza.</w:t>
      </w:r>
    </w:p>
    <w:p w14:paraId="11B4F9B1" w14:textId="3A7CD283" w:rsidR="00F9722A" w:rsidRDefault="00F9722A" w:rsidP="00B00363">
      <w:r>
        <w:t xml:space="preserve">Si potrebbe </w:t>
      </w:r>
      <w:r w:rsidR="00020F3A">
        <w:t xml:space="preserve">prevedere per gli impianti di trattamento una pianificazione “di ultima istanza” che operi alla scala </w:t>
      </w:r>
      <w:r w:rsidR="00ED46A4">
        <w:t>nazional</w:t>
      </w:r>
      <w:r>
        <w:t>e o macro-regionale</w:t>
      </w:r>
      <w:r w:rsidR="00020F3A">
        <w:t xml:space="preserve">, lasciando alla sfera regionale solo le attività di trattamento intermedio (TMB) e lo smaltimento finale (discarica). </w:t>
      </w:r>
      <w:r>
        <w:t>Aperture in questa direzione sono già presenti nel PNGR che prevede ambiti differenziati anche a livello sovraregionale (macro-aree) per le tecnologie caratterizzate da elevate economie di scala.</w:t>
      </w:r>
    </w:p>
    <w:p w14:paraId="1B9C7B36" w14:textId="3DCE2919" w:rsidR="00573A56" w:rsidRDefault="00E651D7" w:rsidP="00B00363">
      <w:r>
        <w:t>L</w:t>
      </w:r>
      <w:r w:rsidR="005D09F9">
        <w:t xml:space="preserve">’accesso agli impianti di “chiusura del ciclo” potrebbe basarsi su uno schema a </w:t>
      </w:r>
      <w:r w:rsidR="00F84BFD">
        <w:t>più</w:t>
      </w:r>
      <w:r w:rsidR="005D09F9">
        <w:t xml:space="preserve"> livelli</w:t>
      </w:r>
      <w:r w:rsidR="00F84BFD">
        <w:t>, superando il regime della pianificazione</w:t>
      </w:r>
      <w:r w:rsidR="00C00089">
        <w:t xml:space="preserve"> regionale</w:t>
      </w:r>
      <w:r w:rsidR="005D09F9">
        <w:t xml:space="preserve">. </w:t>
      </w:r>
      <w:r w:rsidR="00C00089">
        <w:t>Nel modello che proponiamo, a</w:t>
      </w:r>
      <w:r w:rsidR="005D09F9">
        <w:t xml:space="preserve">d un primo livello, </w:t>
      </w:r>
      <w:r w:rsidR="00573A56">
        <w:t>ogni gestore</w:t>
      </w:r>
      <w:r w:rsidR="00F9722A">
        <w:t xml:space="preserve"> dovrebbe</w:t>
      </w:r>
      <w:r w:rsidR="00513FAF">
        <w:t xml:space="preserve"> acquisire</w:t>
      </w:r>
      <w:r w:rsidR="00F9722A">
        <w:t xml:space="preserve"> </w:t>
      </w:r>
      <w:r w:rsidR="00573A56">
        <w:t xml:space="preserve">la capacità necessaria </w:t>
      </w:r>
      <w:r w:rsidR="00513FAF">
        <w:t xml:space="preserve">tramite aste </w:t>
      </w:r>
      <w:proofErr w:type="gramStart"/>
      <w:r w:rsidR="00297F0A">
        <w:t xml:space="preserve">periodiche </w:t>
      </w:r>
      <w:r w:rsidR="00694E8C">
        <w:t>,</w:t>
      </w:r>
      <w:proofErr w:type="gramEnd"/>
      <w:r w:rsidR="00694E8C">
        <w:t xml:space="preserve"> all’interno di ambiti territoriali definiti dal legislatore nazionale, variabili anche in funzione della tecnologia</w:t>
      </w:r>
      <w:r w:rsidR="00513FAF">
        <w:t xml:space="preserve">. Si può immaginare che, tra i criteri di aggiudicazione, vi sia anche una variabile legata alla prossimità. </w:t>
      </w:r>
      <w:r w:rsidR="002D7632">
        <w:t>Le aste potrebbero interessare periodi medio-lunghi, applicando contratti simili a quelli che si vanno diffondendo nel comparto delle energie rinnovabili, come i “purchase agreements”</w:t>
      </w:r>
      <w:r w:rsidR="00573A56">
        <w:t xml:space="preserve"> o iniziative realizzate in </w:t>
      </w:r>
      <w:r w:rsidR="00573A56" w:rsidRPr="00573A56">
        <w:rPr>
          <w:i/>
          <w:iCs/>
        </w:rPr>
        <w:t>project finance</w:t>
      </w:r>
      <w:r w:rsidR="00573A56">
        <w:t xml:space="preserve"> o analoghi schemi di partenariato</w:t>
      </w:r>
      <w:r w:rsidR="00992A94">
        <w:t xml:space="preserve">. </w:t>
      </w:r>
    </w:p>
    <w:p w14:paraId="4A6D4977" w14:textId="7677F85F" w:rsidR="00513FAF" w:rsidRDefault="00573A56" w:rsidP="00B00363">
      <w:r>
        <w:t xml:space="preserve">In alternativa potrebbe essere l’ETC a provvedere a reperire la capacità mancante sul mercato, ancora attraverso aste, il cui esito </w:t>
      </w:r>
      <w:r w:rsidR="004B6F7F">
        <w:t>verrebbe incorporat</w:t>
      </w:r>
      <w:r>
        <w:t>o</w:t>
      </w:r>
      <w:r w:rsidR="004B6F7F">
        <w:t xml:space="preserve"> nei contratti di servizio con un costo passante</w:t>
      </w:r>
      <w:r>
        <w:t>, obbligando il gestore a conferire presso gli impianti selezionati</w:t>
      </w:r>
      <w:r w:rsidR="004B6F7F">
        <w:t>.</w:t>
      </w:r>
      <w:r>
        <w:t xml:space="preserve"> </w:t>
      </w:r>
      <w:r w:rsidR="00F9722A">
        <w:t xml:space="preserve">Gli affidamenti dovrebbero prevedere l’impegno per il gestore a </w:t>
      </w:r>
      <w:r w:rsidR="00CA0D2C">
        <w:t>contenere il</w:t>
      </w:r>
      <w:r w:rsidR="00F9722A">
        <w:t xml:space="preserve"> RU indifferenziato non valorizzabile </w:t>
      </w:r>
      <w:r w:rsidR="00CA0D2C">
        <w:t>entro un valore massimo, per il quale l’ETC garantisce l’accesso agli impianti, come è avvenuto n</w:t>
      </w:r>
      <w:r w:rsidR="00F9722A">
        <w:t xml:space="preserve">elle gare </w:t>
      </w:r>
      <w:r w:rsidR="00CA0D2C">
        <w:t xml:space="preserve">condotte </w:t>
      </w:r>
      <w:r w:rsidR="00F9722A">
        <w:t>in Emilia-Romagna</w:t>
      </w:r>
      <w:r w:rsidR="00CA0D2C">
        <w:t>, la cui esperienza</w:t>
      </w:r>
      <w:r w:rsidR="00F9722A">
        <w:t xml:space="preserve"> potrebbe </w:t>
      </w:r>
      <w:r w:rsidR="00483947">
        <w:t>essere generalizzata</w:t>
      </w:r>
      <w:r w:rsidR="00F9722A">
        <w:t>.</w:t>
      </w:r>
      <w:r w:rsidR="00425B65">
        <w:t xml:space="preserve"> </w:t>
      </w:r>
      <w:r w:rsidR="00513FAF">
        <w:t xml:space="preserve">In tal modo, </w:t>
      </w:r>
      <w:r w:rsidR="00694E8C">
        <w:t xml:space="preserve">le aziende che raccolgono </w:t>
      </w:r>
      <w:r w:rsidR="00CA0D2C">
        <w:t xml:space="preserve">i RU e </w:t>
      </w:r>
      <w:r w:rsidR="00694E8C">
        <w:t xml:space="preserve">gestiscono gli impianti di trattamento intermedio come i TMB </w:t>
      </w:r>
      <w:r w:rsidR="00513FAF">
        <w:t xml:space="preserve">disporrebbero di una soluzione di ultima istanza, </w:t>
      </w:r>
      <w:r w:rsidR="00C22EAF">
        <w:t xml:space="preserve">disponibile però solo fino a una quantità massima; </w:t>
      </w:r>
      <w:r w:rsidR="00513FAF">
        <w:t xml:space="preserve">e </w:t>
      </w:r>
      <w:r w:rsidR="00694E8C">
        <w:t xml:space="preserve">riceverebbero comunque un incentivo a servirsene il meno possibile, incrementando i flussi destinati al recupero. </w:t>
      </w:r>
      <w:r w:rsidR="00992A94">
        <w:t>Eventuali quantità eccedenti dovranno essere collocate sul mercato spot, con gare a breve termine. Qualora invece le quantità si riducessero al di sotto di quella prefissata, il gestore potrebbe cedere i “diritti di smaltimento” ad altri operatori.</w:t>
      </w:r>
    </w:p>
    <w:p w14:paraId="1C804C2F" w14:textId="448A4482" w:rsidR="00CA0D2C" w:rsidRDefault="005D09F9" w:rsidP="00483947">
      <w:r>
        <w:t xml:space="preserve">Compito del regolatore a questo </w:t>
      </w:r>
      <w:r w:rsidR="00694E8C">
        <w:t xml:space="preserve">primo </w:t>
      </w:r>
      <w:r>
        <w:t>stadio dovrebbe essere quello di verificare l’effettiva concorrenzialità del sistema di approvvigionamento e, nel caso in cui si riscontrassero situazioni di “monopolio di fatto”, intervenire con veri e propri strumenti di regolazione come la fissazione di tariffe massime</w:t>
      </w:r>
      <w:r w:rsidR="00992A94">
        <w:t xml:space="preserve"> o meccanismi di adeguamento automatico (es. qualora in seguito alla stipula i prezzi di mercato dell’energia dovessero variare in modo consistente)</w:t>
      </w:r>
      <w:r>
        <w:t>.</w:t>
      </w:r>
      <w:r w:rsidR="00C95CD9">
        <w:t xml:space="preserve"> In tal modo ARERA potrebbe definire e aggiornare un “prezzario” nazionale (eventualmente articolato a livello regionale o macroregionale) che rappresenterebbe la "base d'asta"; i prezzi risultanti dovrebbero essere accettati obbligatoriamente dai soggetti gestori</w:t>
      </w:r>
      <w:r w:rsidR="00C00089">
        <w:t xml:space="preserve"> e trasferiti in tariffa</w:t>
      </w:r>
      <w:r w:rsidR="00C95CD9">
        <w:t>.</w:t>
      </w:r>
    </w:p>
    <w:p w14:paraId="0F959E9C" w14:textId="20D97499" w:rsidR="00035AB3" w:rsidRDefault="00C22EAF" w:rsidP="00483947">
      <w:r>
        <w:t>Qualora gli ETC non siano in grado di approvvigionare in questo modo la capacità necessaria</w:t>
      </w:r>
      <w:r w:rsidR="00F84BFD" w:rsidRPr="00C95CD9">
        <w:t xml:space="preserve"> </w:t>
      </w:r>
      <w:r w:rsidR="00483947">
        <w:t>dov</w:t>
      </w:r>
      <w:r w:rsidR="00F84BFD" w:rsidRPr="00C95CD9">
        <w:t>ranno rivolgersi, a condizioni economicamente penalizzanti</w:t>
      </w:r>
      <w:r w:rsidR="001168BB" w:rsidRPr="00C95CD9">
        <w:t>, a un secondo livello, operante alla scala nazionale o macro-regionale</w:t>
      </w:r>
      <w:r w:rsidR="00C95CD9" w:rsidRPr="00C95CD9">
        <w:t xml:space="preserve">. </w:t>
      </w:r>
      <w:r w:rsidR="00035AB3">
        <w:t>Analogamente, i gestori potranno accedere a questo canale per gli ulteriori flussi da smaltire oltre a quelli garantiti dall’ETC.</w:t>
      </w:r>
    </w:p>
    <w:p w14:paraId="354F43D8" w14:textId="74AA897F" w:rsidR="00C95CD9" w:rsidRDefault="00C95CD9" w:rsidP="00483947">
      <w:r>
        <w:t>Per non urtare gli assetti di potere consolidati ed evitare possibili conflitti di attribuzione, q</w:t>
      </w:r>
      <w:r w:rsidRPr="00C95CD9">
        <w:t xml:space="preserve">uesto secondo livello potrebbe essere </w:t>
      </w:r>
      <w:r>
        <w:t xml:space="preserve">aperto al contributo delle Regioni, </w:t>
      </w:r>
      <w:r w:rsidR="00694E8C">
        <w:t>ad esempio istituendo un</w:t>
      </w:r>
      <w:r w:rsidR="002D7632">
        <w:t>’agenzia permanente sotto il controllo della Conferenza Stato-Regioni</w:t>
      </w:r>
      <w:r>
        <w:t xml:space="preserve">, che potrebbe </w:t>
      </w:r>
      <w:r w:rsidR="00694E8C">
        <w:t>rimpiazzare</w:t>
      </w:r>
      <w:r>
        <w:t xml:space="preserve"> in toto l’istituto commissariale.</w:t>
      </w:r>
      <w:r w:rsidR="00F84BFD">
        <w:t xml:space="preserve"> </w:t>
      </w:r>
    </w:p>
    <w:p w14:paraId="61AA7DD1" w14:textId="61CA3D86" w:rsidR="009C07CD" w:rsidRDefault="00F84BFD" w:rsidP="005A6D1B">
      <w:r>
        <w:lastRenderedPageBreak/>
        <w:t>Il soggetto operante a questo livello, una sorta di “acquirente unico” raccoglierà per tempo le “prenotazioni” da parte di chi ne ha bisogno e procurerà la capacità di trattamento necessaria, in Italia o all’estero, tramite meccanismi di mercato o “requisendola” con strumenti di pianificazione, in tal caso ricorrendo a tariffe regolate da parte dell’Autorità</w:t>
      </w:r>
      <w:r w:rsidR="006F5B8C">
        <w:t>.</w:t>
      </w:r>
      <w:r w:rsidR="00C95CD9">
        <w:t xml:space="preserve"> </w:t>
      </w:r>
      <w:r w:rsidR="00650D31">
        <w:t xml:space="preserve">In un’altra occasione </w:t>
      </w:r>
      <w:r w:rsidR="00483947">
        <w:t xml:space="preserve">(Massarutto, 2019) </w:t>
      </w:r>
      <w:r w:rsidR="00650D31">
        <w:t xml:space="preserve">ho proposto di creare un “mercato dell’anno prima”, in analogia con il “mercato del giorno prima” applicato nel settore elettrico. </w:t>
      </w:r>
      <w:r w:rsidR="00C95CD9">
        <w:t xml:space="preserve">Dovrà essere possibile ricorrere allo “smaltimento di ultima istanza” anche </w:t>
      </w:r>
      <w:r w:rsidR="00650D31">
        <w:t>con minore preavviso, eventualmente anche in emergenza (es. per far fronte a un fermo-impianti imprevisto), con una penalità proporzionalmente maggiore.</w:t>
      </w:r>
      <w:r w:rsidR="00035AB3">
        <w:t xml:space="preserve"> Ulteriori spazi di flessibilità </w:t>
      </w:r>
      <w:r w:rsidR="00BF5640">
        <w:t xml:space="preserve">si </w:t>
      </w:r>
      <w:r w:rsidR="00035AB3">
        <w:t xml:space="preserve">potrebbero </w:t>
      </w:r>
      <w:r w:rsidR="00BF5640">
        <w:t>ottenere</w:t>
      </w:r>
      <w:r w:rsidR="00035AB3">
        <w:t xml:space="preserve"> permettendo ai gestori e agli ETC di cedere ad altri gestori ed ETC le diponibilità eccedenti, istituendo un vero e proprio “mercato dei diritti di smaltimento” di cui esiste qualche precedente in Europa (Massarutto e Antonioli, 2012).</w:t>
      </w:r>
    </w:p>
    <w:p w14:paraId="1F165203" w14:textId="54241492" w:rsidR="00B44F59" w:rsidRDefault="00F9722A" w:rsidP="005A6D1B">
      <w:r>
        <w:t xml:space="preserve">In un simile scenario, il servizio pubblico dovrà essere inteso sempre più come </w:t>
      </w:r>
      <w:r w:rsidRPr="00B61B9F">
        <w:rPr>
          <w:i/>
          <w:iCs/>
        </w:rPr>
        <w:t>clearing-house</w:t>
      </w:r>
      <w:r>
        <w:t xml:space="preserve"> che assicuri il regolare trattamento di tutti i flussi non altrimenti valorizzabili e insieme faccia da baluardo contro la tentazione di adire pratiche scorrette o illegali offrendo un “porto sicuro” cui indirizzare i flussi</w:t>
      </w:r>
      <w:r w:rsidR="00BF5640">
        <w:t xml:space="preserve"> non utilmente valorizzabili</w:t>
      </w:r>
      <w:r>
        <w:t>. Un ruolo residuale, insomma, ma non per questo necessariamente ridotto, né in termini quantitativi né di importanza strategica. E neppure semplificato: esso dovrà semmai adattarsi in modo innovativo alle mutevoli caratteristiche del settore.</w:t>
      </w:r>
    </w:p>
    <w:p w14:paraId="69F31AB9" w14:textId="0A4827F9" w:rsidR="007B5DA6" w:rsidRDefault="007B5DA6" w:rsidP="000419E4">
      <w:pPr>
        <w:pStyle w:val="Titolo2"/>
      </w:pPr>
      <w:r>
        <w:t>Conclusioni</w:t>
      </w:r>
    </w:p>
    <w:p w14:paraId="7D52958B" w14:textId="1B07B033" w:rsidR="00BC57B4" w:rsidRDefault="008437A8" w:rsidP="007B5DA6">
      <w:r>
        <w:t xml:space="preserve">L’analisi svolta in questo articolo dimostra, crediamo, </w:t>
      </w:r>
      <w:r w:rsidR="00BC57B4">
        <w:t xml:space="preserve">conferma la bontà dell’avere optato per un modello di regolazione imperniato su un’autorità indipendente.  </w:t>
      </w:r>
    </w:p>
    <w:p w14:paraId="562F930A" w14:textId="200CB43F" w:rsidR="00D725B0" w:rsidRDefault="00D725B0" w:rsidP="00D725B0">
      <w:r>
        <w:t>La sostanza della nostra tesi è che la transizione verso l’economia circolare rappresenta un importante fattore che accresce la complessità regolatoria del settore: sia perché ne incrementa vistosamente la dimensione industriale, sia perché determina l’esigenza di garantire la sostenibilità finanziaria di obblighi di servizio pubblico potenzialmente in conflitto tra loro, sia ancora perché moltiplica le potenziali concentrazioni di potere di mercato, favorite dalle economie di integrazione orizzontale e verticale.</w:t>
      </w:r>
    </w:p>
    <w:p w14:paraId="53B05208" w14:textId="5336A1BA" w:rsidR="00B014F1" w:rsidRDefault="00B014F1" w:rsidP="00D725B0">
      <w:r>
        <w:t>La tendenza verso l’integrazione verticale, da un lato; le crescenti sinergie tra il settore dei RU e quello contiguo dei rifiuti speciali, da un altro; la presenza di centri di responsabilità su cui gravano i diversi obblighi di servizio pubblico – i gestori del SGRU e i sistemi EPR – sono una conseguenza dell’evoluzione in corso, e non il frutto di una indebita e arbitraria strategia del regolatore. La compresenza di scale territoriali diverse – quella urbana per il decoro degli spazi pubblici e l’efficace rimozione dei rifiuti; quella regionale e addirittura naziona</w:t>
      </w:r>
      <w:r w:rsidR="00E56D16">
        <w:t>le per la prevenzione delle “emergenze rifiuti”</w:t>
      </w:r>
      <w:r>
        <w:t xml:space="preserve"> </w:t>
      </w:r>
      <w:r w:rsidR="00E56D16">
        <w:t xml:space="preserve">e l’adeguatezza dell’offerta impiantistica; quella internazionale e globale riguardo alla costruzione di un’economia circolare a impatto minimo sulle risorse del pianeta e gli ecosistemi – richiede il superamento di una visione solo locale e quindi della frammentazione comunale, e l’affermazione di una logica di tipo industriale.  </w:t>
      </w:r>
    </w:p>
    <w:p w14:paraId="0AE68714" w14:textId="71E73A14" w:rsidR="00D725B0" w:rsidRDefault="00D725B0" w:rsidP="00D725B0">
      <w:r>
        <w:t>Il settore necessita pertanto di un disegno del mercato coerente con queste esigenze</w:t>
      </w:r>
      <w:r w:rsidR="00B014F1">
        <w:t xml:space="preserve">. </w:t>
      </w:r>
      <w:r>
        <w:t xml:space="preserve">Una volta riconosciuta questa necessità, tuttavia, occorre che la regolazione sia disegnata in modo sinergico rispetto a un ruolo potenzialmente sempre più esteso della concorrenza. </w:t>
      </w:r>
    </w:p>
    <w:p w14:paraId="115B43F5" w14:textId="294DB78F" w:rsidR="00B014F1" w:rsidRDefault="00B014F1" w:rsidP="00B014F1">
      <w:r>
        <w:t>L’esperienza sin qui fatta con i primi due periodi regolatori, il secondo non ancora concluso, suggerisc</w:t>
      </w:r>
      <w:r w:rsidR="00E56D16">
        <w:t>e</w:t>
      </w:r>
      <w:r>
        <w:t xml:space="preserve"> qualche riflessione critica su come ARERA ha finora interpretato </w:t>
      </w:r>
      <w:r w:rsidR="00E56D16">
        <w:t xml:space="preserve">il suo ruolo </w:t>
      </w:r>
      <w:r>
        <w:t>– spesso, è il caso di dirlo, costretta a farlo in un certo modo dall’assenza di un chiaro disegno del mercato da parte del legislatore.</w:t>
      </w:r>
    </w:p>
    <w:p w14:paraId="391EC53A" w14:textId="05AAB8FF" w:rsidR="00B014F1" w:rsidRDefault="00B014F1" w:rsidP="007B5DA6">
      <w:r>
        <w:t xml:space="preserve">L’analisi ha evidenziato in particolare la presenza di numerose “zone grigie”, al confine tra il perimetro del servizio regolato e l’ambito della concorrenza, sulle quali un intervento legislativo appare necessario e urgente. Ciò in particolare con riferimento alle attività di chiusura del ciclo riferite ai flussi destinati alla </w:t>
      </w:r>
      <w:r>
        <w:lastRenderedPageBreak/>
        <w:t>combustione con recupero di energia, e al rifiuto organico, da un lato; e alle attività di preparazione per il riciclo a valle della raccolta differenziata.</w:t>
      </w:r>
    </w:p>
    <w:p w14:paraId="0187BB13" w14:textId="25C2A6A7" w:rsidR="001C4FB6" w:rsidRDefault="001C4FB6" w:rsidP="007B5DA6">
      <w:r>
        <w:t>La regolazione delle tariffe al cancello si avvale di un modello che lascia assai perplessi circa l’effettiva capacità di intercettare un costo efficiente, rischiando di non esercitare alcun effetto di incentivo all’efficienza.</w:t>
      </w:r>
    </w:p>
    <w:p w14:paraId="1790ED74" w14:textId="04EDE4D3" w:rsidR="001C4FB6" w:rsidRDefault="001C4FB6" w:rsidP="007B5DA6">
      <w:r>
        <w:t>Nuovi, e più impegnativi, temi dovranno essere affrontati. Tra questi quello più evidente sembra essere la disciplina dei corrispettivi versati dai sistemi EPR ai gestori, da un lato, e dai soggetti associati ai sistemi EPR, dall’altro.</w:t>
      </w:r>
    </w:p>
    <w:p w14:paraId="35702A53" w14:textId="50978FDF" w:rsidR="001C4FB6" w:rsidRDefault="001C4FB6" w:rsidP="007B5DA6">
      <w:r>
        <w:t xml:space="preserve">Ancora, sembra opportuno auspicare </w:t>
      </w:r>
      <w:r w:rsidR="00663AF1">
        <w:t xml:space="preserve">il superamento del regime della TARI e </w:t>
      </w:r>
      <w:r>
        <w:t>un</w:t>
      </w:r>
      <w:r w:rsidR="00663AF1">
        <w:t>’evoluzione verso modelli basati sulla tariffazione diretta da parte del gestore. Ma soprattutto, ci sembra che una tale evoluzione dovrebbe condurre a una graduale convergenza verso strutture tariffarie uniche a livello di ambito.</w:t>
      </w:r>
    </w:p>
    <w:p w14:paraId="61773CF2" w14:textId="76DA5A9A" w:rsidR="00663AF1" w:rsidRPr="007B5DA6" w:rsidRDefault="00663AF1" w:rsidP="007B5DA6">
      <w:r>
        <w:t xml:space="preserve">Sembra però difficile immaginare che ARERA possa, con i soli strumenti a sua disposizione, raggiungere obiettivi di questa portata. </w:t>
      </w:r>
      <w:proofErr w:type="gramStart"/>
      <w:r>
        <w:t>E’</w:t>
      </w:r>
      <w:proofErr w:type="gramEnd"/>
      <w:r>
        <w:t xml:space="preserve"> necessario a nostro avviso un intervento del legislatore volto a chiarire i numerosi punti oscuri del disegno del mercato.</w:t>
      </w:r>
    </w:p>
    <w:p w14:paraId="6D6525EE" w14:textId="429D599A" w:rsidR="00DD514B" w:rsidRPr="000F008B" w:rsidRDefault="00352439" w:rsidP="000419E4">
      <w:pPr>
        <w:pStyle w:val="Titolo2"/>
      </w:pPr>
      <w:r w:rsidRPr="000F008B">
        <w:t>Bibliografia</w:t>
      </w:r>
    </w:p>
    <w:p w14:paraId="542E60C6" w14:textId="07C953C4" w:rsidR="00286F9E" w:rsidRPr="004D0DF7" w:rsidRDefault="00286F9E" w:rsidP="00352439">
      <w:r w:rsidRPr="004D0DF7">
        <w:t>ARERA, 20</w:t>
      </w:r>
      <w:r w:rsidR="00483947" w:rsidRPr="004D0DF7">
        <w:t>19</w:t>
      </w:r>
      <w:r w:rsidRPr="004D0DF7">
        <w:t>, Metodo tariffario</w:t>
      </w:r>
      <w:r w:rsidR="00C52730" w:rsidRPr="004D0DF7">
        <w:t xml:space="preserve"> rifiuti per il primo periodo regolatorio (MTR), Allegato A alla Del.</w:t>
      </w:r>
      <w:r w:rsidR="00483947" w:rsidRPr="004D0DF7">
        <w:t>443/19</w:t>
      </w:r>
    </w:p>
    <w:p w14:paraId="2552C397" w14:textId="4E3D0134" w:rsidR="00C52730" w:rsidRPr="004D0DF7" w:rsidRDefault="00C52730" w:rsidP="00352439">
      <w:r w:rsidRPr="004D0DF7">
        <w:t>ARERA, 202</w:t>
      </w:r>
      <w:r w:rsidR="00483947" w:rsidRPr="004D0DF7">
        <w:t>1</w:t>
      </w:r>
      <w:r w:rsidRPr="004D0DF7">
        <w:t>, Metodo tariffario rifiuti per il secondo periodo regolatorio (MTR-2), Allegato A alla Del.</w:t>
      </w:r>
      <w:r w:rsidR="00483947" w:rsidRPr="004D0DF7">
        <w:t>363/21</w:t>
      </w:r>
      <w:r w:rsidRPr="004D0DF7">
        <w:t xml:space="preserve"> </w:t>
      </w:r>
    </w:p>
    <w:p w14:paraId="68F6DF9F" w14:textId="654257E6" w:rsidR="00C52730" w:rsidRPr="004D0DF7" w:rsidRDefault="00C52730" w:rsidP="00352439">
      <w:r w:rsidRPr="004D0DF7">
        <w:t>ARERA, 2023a, Orientamenti per la determinazione dei costi efficienti della raccolta differenziata, del trasporto, delle operazioni di cernita e delle altre operazioni preliminari e la definizione degli standard tecnici e qualitativi del recupero e dello smaltimento, DCO 214/2023/RIF, www.arera.it</w:t>
      </w:r>
    </w:p>
    <w:p w14:paraId="4EF122C7" w14:textId="572E8E37" w:rsidR="00302290" w:rsidRPr="004D0DF7" w:rsidRDefault="00302290" w:rsidP="00352439">
      <w:r w:rsidRPr="004D0DF7">
        <w:t>ARERA, 2024</w:t>
      </w:r>
      <w:r w:rsidR="000F008B" w:rsidRPr="004D0DF7">
        <w:t>a</w:t>
      </w:r>
      <w:r w:rsidRPr="004D0DF7">
        <w:t>, Relazione annuale</w:t>
      </w:r>
      <w:r w:rsidR="00483947" w:rsidRPr="004D0DF7">
        <w:t>, www.arera.it</w:t>
      </w:r>
    </w:p>
    <w:p w14:paraId="099B908F" w14:textId="17A777E1" w:rsidR="000F008B" w:rsidRPr="004D0DF7" w:rsidRDefault="000F008B" w:rsidP="00352439">
      <w:r w:rsidRPr="004D0DF7">
        <w:t>ARERA, 2024b, Schema di gara tipo</w:t>
      </w:r>
      <w:r w:rsidR="00483947" w:rsidRPr="004D0DF7">
        <w:t>, Allegato A alla Del. 450/24</w:t>
      </w:r>
    </w:p>
    <w:p w14:paraId="64EB586E" w14:textId="5BA45B00" w:rsidR="00C52730" w:rsidRPr="004D0DF7" w:rsidRDefault="00C52730" w:rsidP="00352439">
      <w:r w:rsidRPr="004D0DF7">
        <w:t>Azzurro P., Berardi D., Valle N., 2020, “EPR Imballaggi: la copertura dei costi”, Laboratorio REF Ricerche, Position Paper n. 168, www.laboratorioref.it</w:t>
      </w:r>
    </w:p>
    <w:p w14:paraId="6A4DDAFD" w14:textId="77777777" w:rsidR="00F67A82" w:rsidRPr="004D0DF7" w:rsidRDefault="00F67A82" w:rsidP="00F67A82">
      <w:pPr>
        <w:rPr>
          <w:lang w:val="en-GB"/>
        </w:rPr>
      </w:pPr>
      <w:r w:rsidRPr="004D0DF7">
        <w:rPr>
          <w:lang w:val="en-GB"/>
        </w:rPr>
        <w:t>Baldwin R., Cave M., Lodge M., 2012, Understanding Regulation: Theory, Strategy and Price, Oxford University Press, Oxford</w:t>
      </w:r>
    </w:p>
    <w:p w14:paraId="712971F6" w14:textId="1D4CC1DA" w:rsidR="00F175A4" w:rsidRPr="004D0DF7" w:rsidRDefault="00F175A4" w:rsidP="00352439">
      <w:r w:rsidRPr="004D0DF7">
        <w:t xml:space="preserve">Ballabio D., </w:t>
      </w:r>
      <w:proofErr w:type="spellStart"/>
      <w:r w:rsidRPr="004D0DF7">
        <w:t>Ballaera</w:t>
      </w:r>
      <w:proofErr w:type="spellEnd"/>
      <w:r w:rsidRPr="004D0DF7">
        <w:t xml:space="preserve"> F., Berardi D., 2024</w:t>
      </w:r>
      <w:r w:rsidR="002E230C" w:rsidRPr="004D0DF7">
        <w:t>a</w:t>
      </w:r>
      <w:r w:rsidRPr="004D0DF7">
        <w:t xml:space="preserve">, </w:t>
      </w:r>
      <w:r w:rsidR="00BC6E4B" w:rsidRPr="004D0DF7">
        <w:t>“</w:t>
      </w:r>
      <w:r w:rsidRPr="004D0DF7">
        <w:t>Trattamento dei rifiuti: dove servono gli impianti</w:t>
      </w:r>
      <w:r w:rsidR="00BC6E4B" w:rsidRPr="004D0DF7">
        <w:t>”</w:t>
      </w:r>
      <w:r w:rsidRPr="004D0DF7">
        <w:t xml:space="preserve">, </w:t>
      </w:r>
      <w:hyperlink r:id="rId17" w:history="1">
        <w:r w:rsidRPr="004D0DF7">
          <w:rPr>
            <w:rStyle w:val="Collegamentoipertestuale"/>
          </w:rPr>
          <w:t>www.lavoce.info</w:t>
        </w:r>
      </w:hyperlink>
      <w:r w:rsidRPr="004D0DF7">
        <w:t>, 28/05/24</w:t>
      </w:r>
    </w:p>
    <w:p w14:paraId="7FC28B3F" w14:textId="3B93A57B" w:rsidR="00883303" w:rsidRPr="004D0DF7" w:rsidRDefault="00883303" w:rsidP="00352439">
      <w:r w:rsidRPr="004D0DF7">
        <w:t>Ballabio D., Berardi D., Valle N., 2023, “Rifiuto organico: tra mercato, concorrenza e regole”, Laboratorio REF Ricerche, Position Paper n. 238, www.laboratorioref.it</w:t>
      </w:r>
    </w:p>
    <w:p w14:paraId="2F87EC84" w14:textId="3B4922A3" w:rsidR="00302290" w:rsidRPr="004D0DF7" w:rsidRDefault="00302290" w:rsidP="00352439">
      <w:r w:rsidRPr="004D0DF7">
        <w:t xml:space="preserve">Berardi D., 2023, “Servizi pubblici locali: un riordino a lungo atteso”, </w:t>
      </w:r>
      <w:hyperlink r:id="rId18" w:history="1">
        <w:r w:rsidR="00F175A4" w:rsidRPr="004D0DF7">
          <w:rPr>
            <w:rStyle w:val="Collegamentoipertestuale"/>
          </w:rPr>
          <w:t>www.lavoce.info</w:t>
        </w:r>
      </w:hyperlink>
      <w:r w:rsidR="00F175A4" w:rsidRPr="004D0DF7">
        <w:t xml:space="preserve">, </w:t>
      </w:r>
    </w:p>
    <w:p w14:paraId="5938FE95" w14:textId="7A8B8B31" w:rsidR="000F008B" w:rsidRPr="004D0DF7" w:rsidRDefault="000F008B" w:rsidP="00352439">
      <w:pPr>
        <w:rPr>
          <w:lang w:val="en-GB"/>
        </w:rPr>
      </w:pPr>
      <w:r w:rsidRPr="004D0DF7">
        <w:rPr>
          <w:bCs/>
          <w:lang w:val="en-GB"/>
        </w:rPr>
        <w:t xml:space="preserve">Bertossi P., </w:t>
      </w:r>
      <w:proofErr w:type="spellStart"/>
      <w:r w:rsidRPr="004D0DF7">
        <w:rPr>
          <w:bCs/>
          <w:lang w:val="en-GB"/>
        </w:rPr>
        <w:t>Kaulard</w:t>
      </w:r>
      <w:proofErr w:type="spellEnd"/>
      <w:r w:rsidRPr="004D0DF7">
        <w:rPr>
          <w:bCs/>
          <w:lang w:val="en-GB"/>
        </w:rPr>
        <w:t xml:space="preserve"> A., Massarutto A., 2000, Municipal waste management in Italy, in Buclet N., Godard O., a </w:t>
      </w:r>
      <w:proofErr w:type="spellStart"/>
      <w:r w:rsidRPr="004D0DF7">
        <w:rPr>
          <w:bCs/>
          <w:lang w:val="en-GB"/>
        </w:rPr>
        <w:t>cura</w:t>
      </w:r>
      <w:proofErr w:type="spellEnd"/>
      <w:r w:rsidRPr="004D0DF7">
        <w:rPr>
          <w:bCs/>
          <w:lang w:val="en-GB"/>
        </w:rPr>
        <w:t xml:space="preserve"> di, </w:t>
      </w:r>
      <w:r w:rsidRPr="004D0DF7">
        <w:rPr>
          <w:bCs/>
          <w:i/>
          <w:iCs/>
          <w:lang w:val="en-GB"/>
        </w:rPr>
        <w:t>Municipal waste management in Europe: a comparative study in building regimes</w:t>
      </w:r>
      <w:r w:rsidRPr="004D0DF7">
        <w:rPr>
          <w:bCs/>
          <w:lang w:val="en-GB"/>
        </w:rPr>
        <w:t>, Kluwer, Amsterdam</w:t>
      </w:r>
    </w:p>
    <w:p w14:paraId="0A4154C4" w14:textId="5704EDA6" w:rsidR="005F7EBE" w:rsidRPr="004D0DF7" w:rsidRDefault="005F7EBE" w:rsidP="00352439">
      <w:r w:rsidRPr="004D0DF7">
        <w:t xml:space="preserve">Boitani A., 2002, “Costi e benefici dei diversi modelli di regolazione”, </w:t>
      </w:r>
      <w:r w:rsidRPr="004D0DF7">
        <w:rPr>
          <w:i/>
          <w:iCs/>
        </w:rPr>
        <w:t>Analisi Giuridica dell’Economia</w:t>
      </w:r>
      <w:r w:rsidRPr="004D0DF7">
        <w:t xml:space="preserve">, 2, 385-398, </w:t>
      </w:r>
      <w:r w:rsidRPr="004D0DF7">
        <w:rPr>
          <w:color w:val="262626"/>
          <w:sz w:val="23"/>
          <w:szCs w:val="23"/>
          <w:shd w:val="clear" w:color="auto" w:fill="FFFFFF"/>
        </w:rPr>
        <w:t>DOI: 10.1433/8011</w:t>
      </w:r>
    </w:p>
    <w:p w14:paraId="001BC9C8" w14:textId="10438B3D" w:rsidR="00D23A0C" w:rsidRPr="004D0DF7" w:rsidRDefault="00D23A0C" w:rsidP="00352439">
      <w:r w:rsidRPr="004D0DF7">
        <w:lastRenderedPageBreak/>
        <w:t xml:space="preserve">Brusco S., Bertossi P., Cottica A., 1995, “Mercato, cattura della regolazione e cattura del controllo nell’ industria dei rifiuti urbani in Europa”, </w:t>
      </w:r>
      <w:r w:rsidRPr="004D0DF7">
        <w:rPr>
          <w:i/>
          <w:iCs/>
        </w:rPr>
        <w:t>Economia e politica industriale</w:t>
      </w:r>
      <w:r w:rsidRPr="004D0DF7">
        <w:t>, 88/1995</w:t>
      </w:r>
    </w:p>
    <w:p w14:paraId="11B77F62" w14:textId="2A88AAD1" w:rsidR="00947CAC" w:rsidRPr="004D0DF7" w:rsidRDefault="00947CAC" w:rsidP="00352439">
      <w:r w:rsidRPr="004D0DF7">
        <w:t xml:space="preserve">CONAI (Consorzio Nazionale Imballaggi), 2024, </w:t>
      </w:r>
      <w:r w:rsidRPr="004D0DF7">
        <w:rPr>
          <w:i/>
          <w:iCs/>
        </w:rPr>
        <w:t>Bilancio di sostenibilità</w:t>
      </w:r>
      <w:r w:rsidRPr="004D0DF7">
        <w:t>, www.conai.org</w:t>
      </w:r>
    </w:p>
    <w:p w14:paraId="2EB6207B" w14:textId="08CDCC44" w:rsidR="007622C4" w:rsidRPr="004D0DF7" w:rsidRDefault="007622C4" w:rsidP="00352439">
      <w:pPr>
        <w:rPr>
          <w:lang w:val="en-GB"/>
        </w:rPr>
      </w:pPr>
      <w:proofErr w:type="spellStart"/>
      <w:r w:rsidRPr="004D0DF7">
        <w:rPr>
          <w:lang w:val="en-GB"/>
        </w:rPr>
        <w:t>Djemaci</w:t>
      </w:r>
      <w:proofErr w:type="spellEnd"/>
      <w:r w:rsidRPr="004D0DF7">
        <w:rPr>
          <w:lang w:val="en-GB"/>
        </w:rPr>
        <w:t xml:space="preserve"> B., 2009, “Public waste management services in France: National analysis and case studies of Paris, Rouen, and </w:t>
      </w:r>
      <w:proofErr w:type="spellStart"/>
      <w:r w:rsidRPr="004D0DF7">
        <w:rPr>
          <w:lang w:val="en-GB"/>
        </w:rPr>
        <w:t>Besançon</w:t>
      </w:r>
      <w:proofErr w:type="spellEnd"/>
      <w:r w:rsidRPr="004D0DF7">
        <w:rPr>
          <w:lang w:val="en-GB"/>
        </w:rPr>
        <w:t>”, CIRIEC working paper 2009/02, https://www.ciriec.uliege.be/repec/WP09-02.pdf</w:t>
      </w:r>
    </w:p>
    <w:p w14:paraId="2409B12A" w14:textId="77777777" w:rsidR="00722EFD" w:rsidRPr="004D0DF7" w:rsidRDefault="00722EFD" w:rsidP="00722EFD">
      <w:pPr>
        <w:rPr>
          <w:lang w:val="en-GB"/>
        </w:rPr>
      </w:pPr>
      <w:r w:rsidRPr="004D0DF7">
        <w:rPr>
          <w:lang w:val="en-GB"/>
        </w:rPr>
        <w:t xml:space="preserve">Goldberg V., 1976, “Regulation and administered contracts”, </w:t>
      </w:r>
      <w:r w:rsidRPr="004D0DF7">
        <w:rPr>
          <w:i/>
          <w:iCs/>
          <w:lang w:val="en-GB"/>
        </w:rPr>
        <w:t>Bell Journal of Economics</w:t>
      </w:r>
      <w:r w:rsidRPr="004D0DF7">
        <w:rPr>
          <w:lang w:val="en-GB"/>
        </w:rPr>
        <w:t>, 7,2,426-448</w:t>
      </w:r>
    </w:p>
    <w:p w14:paraId="09A0F5FD" w14:textId="635EB5E2" w:rsidR="000B346F" w:rsidRPr="004D0DF7" w:rsidRDefault="000B346F" w:rsidP="00352439">
      <w:pPr>
        <w:rPr>
          <w:lang w:val="en-GB"/>
        </w:rPr>
      </w:pPr>
      <w:proofErr w:type="spellStart"/>
      <w:r w:rsidRPr="004D0DF7">
        <w:rPr>
          <w:lang w:val="en-GB"/>
        </w:rPr>
        <w:t>Gupt</w:t>
      </w:r>
      <w:proofErr w:type="spellEnd"/>
      <w:r w:rsidRPr="004D0DF7">
        <w:rPr>
          <w:lang w:val="en-GB"/>
        </w:rPr>
        <w:t xml:space="preserve"> Y., Sahay S., 2015, “Review of extended producer responsibility. A case study approach”, </w:t>
      </w:r>
      <w:r w:rsidRPr="004D0DF7">
        <w:rPr>
          <w:i/>
          <w:iCs/>
          <w:lang w:val="en-GB"/>
        </w:rPr>
        <w:t>Waste Management and Research</w:t>
      </w:r>
      <w:r w:rsidRPr="004D0DF7">
        <w:rPr>
          <w:lang w:val="en-GB"/>
        </w:rPr>
        <w:t>, 33, 7, 595-611, DOI: 10.1177/0734242X15592275</w:t>
      </w:r>
    </w:p>
    <w:p w14:paraId="692503BB" w14:textId="37820A1D" w:rsidR="007B776E" w:rsidRPr="004D0DF7" w:rsidRDefault="007B776E" w:rsidP="00352439">
      <w:r w:rsidRPr="004D0DF7">
        <w:t xml:space="preserve">IFEL, 2024, La tariffazione puntuale in Italia, a cura di </w:t>
      </w:r>
      <w:proofErr w:type="spellStart"/>
      <w:proofErr w:type="gramStart"/>
      <w:r w:rsidRPr="004D0DF7">
        <w:t>D.Donadio</w:t>
      </w:r>
      <w:proofErr w:type="spellEnd"/>
      <w:proofErr w:type="gramEnd"/>
      <w:r w:rsidRPr="004D0DF7">
        <w:t xml:space="preserve"> e </w:t>
      </w:r>
      <w:proofErr w:type="spellStart"/>
      <w:r w:rsidRPr="004D0DF7">
        <w:t>L.Betelli</w:t>
      </w:r>
      <w:proofErr w:type="spellEnd"/>
      <w:r w:rsidRPr="004D0DF7">
        <w:t>, IFEL, Fondazione ANCI, Roma, https://www.fondazioneifel.it/documenti-e-pubblicazioni/item/11757-la-tariffazione-puntuale-in-italia</w:t>
      </w:r>
    </w:p>
    <w:p w14:paraId="21B09134" w14:textId="3496AC39" w:rsidR="00955651" w:rsidRPr="004D0DF7" w:rsidRDefault="00955651" w:rsidP="00352439">
      <w:r w:rsidRPr="004D0DF7">
        <w:t>ISPRA, 2024, Rapporto rifiuti urbani, Edizione 2024, Ispra, Roma, https://www.isprambiente.gov.it/it/pubblicazioni/rapporti/rapporto-rifiuti-urbani-edizione-2024</w:t>
      </w:r>
    </w:p>
    <w:p w14:paraId="25CFE3BF" w14:textId="780D83D1" w:rsidR="00CD3475" w:rsidRPr="004D0DF7" w:rsidRDefault="00CD3475" w:rsidP="00352439">
      <w:pPr>
        <w:rPr>
          <w:rFonts w:asciiTheme="minorHAnsi" w:hAnsiTheme="minorHAnsi"/>
          <w:bCs/>
          <w:lang w:val="en-GB"/>
        </w:rPr>
      </w:pPr>
      <w:r w:rsidRPr="004D0DF7">
        <w:rPr>
          <w:rFonts w:asciiTheme="minorHAnsi" w:hAnsiTheme="minorHAnsi"/>
          <w:bCs/>
          <w:lang w:val="en-GB"/>
        </w:rPr>
        <w:t xml:space="preserve">Marques R.C., 2017, “Why not regulate PPPs?”, </w:t>
      </w:r>
      <w:r w:rsidRPr="004D0DF7">
        <w:rPr>
          <w:rFonts w:asciiTheme="minorHAnsi" w:hAnsiTheme="minorHAnsi"/>
          <w:bCs/>
          <w:i/>
          <w:iCs/>
          <w:lang w:val="en-GB"/>
        </w:rPr>
        <w:t>Utilities Policy</w:t>
      </w:r>
      <w:r w:rsidRPr="004D0DF7">
        <w:rPr>
          <w:rFonts w:asciiTheme="minorHAnsi" w:hAnsiTheme="minorHAnsi"/>
          <w:bCs/>
          <w:lang w:val="en-GB"/>
        </w:rPr>
        <w:t>, 48, 141-146</w:t>
      </w:r>
    </w:p>
    <w:p w14:paraId="2CFDED82" w14:textId="277DF294" w:rsidR="003F44AD" w:rsidRPr="004D0DF7" w:rsidRDefault="003F44AD" w:rsidP="00352439">
      <w:pPr>
        <w:rPr>
          <w:rFonts w:asciiTheme="minorHAnsi" w:hAnsiTheme="minorHAnsi"/>
          <w:bCs/>
          <w:lang w:val="en-GB"/>
        </w:rPr>
      </w:pPr>
      <w:r w:rsidRPr="004D0DF7">
        <w:rPr>
          <w:rFonts w:asciiTheme="minorHAnsi" w:hAnsiTheme="minorHAnsi"/>
          <w:bCs/>
          <w:lang w:val="en-GB"/>
        </w:rPr>
        <w:t xml:space="preserve">Marques R.C., Ferreira da Cruz N., 2018, </w:t>
      </w:r>
      <w:r w:rsidRPr="004D0DF7">
        <w:rPr>
          <w:rFonts w:asciiTheme="minorHAnsi" w:hAnsiTheme="minorHAnsi"/>
          <w:bCs/>
          <w:i/>
          <w:iCs/>
          <w:lang w:val="en-GB"/>
        </w:rPr>
        <w:t xml:space="preserve">Recycling and Extended Producer Responsibility: </w:t>
      </w:r>
      <w:proofErr w:type="gramStart"/>
      <w:r w:rsidRPr="004D0DF7">
        <w:rPr>
          <w:rFonts w:asciiTheme="minorHAnsi" w:hAnsiTheme="minorHAnsi"/>
          <w:bCs/>
          <w:i/>
          <w:iCs/>
          <w:lang w:val="en-GB"/>
        </w:rPr>
        <w:t>the</w:t>
      </w:r>
      <w:proofErr w:type="gramEnd"/>
      <w:r w:rsidRPr="004D0DF7">
        <w:rPr>
          <w:rFonts w:asciiTheme="minorHAnsi" w:hAnsiTheme="minorHAnsi"/>
          <w:bCs/>
          <w:i/>
          <w:iCs/>
          <w:lang w:val="en-GB"/>
        </w:rPr>
        <w:t xml:space="preserve"> European experience</w:t>
      </w:r>
      <w:r w:rsidRPr="004D0DF7">
        <w:rPr>
          <w:rFonts w:asciiTheme="minorHAnsi" w:hAnsiTheme="minorHAnsi"/>
          <w:bCs/>
          <w:lang w:val="en-GB"/>
        </w:rPr>
        <w:t>, Routledge, London</w:t>
      </w:r>
    </w:p>
    <w:p w14:paraId="21426D5F" w14:textId="166EA007" w:rsidR="00302290" w:rsidRPr="004D0DF7" w:rsidRDefault="00302290" w:rsidP="00352439">
      <w:pPr>
        <w:rPr>
          <w:rFonts w:asciiTheme="minorHAnsi" w:hAnsiTheme="minorHAnsi"/>
          <w:bCs/>
          <w:lang w:val="en-US"/>
        </w:rPr>
      </w:pPr>
      <w:r w:rsidRPr="004D0DF7">
        <w:rPr>
          <w:rFonts w:asciiTheme="minorHAnsi" w:hAnsiTheme="minorHAnsi"/>
          <w:bCs/>
          <w:lang w:val="en-US"/>
        </w:rPr>
        <w:t xml:space="preserve">Massarutto A., 2007, “Waste management as a public utility: options for competition in an environmentally-regulated industry”, </w:t>
      </w:r>
      <w:r w:rsidRPr="004D0DF7">
        <w:rPr>
          <w:rFonts w:asciiTheme="minorHAnsi" w:hAnsiTheme="minorHAnsi"/>
          <w:bCs/>
          <w:i/>
          <w:iCs/>
          <w:lang w:val="en-US"/>
        </w:rPr>
        <w:t>Utilities Policy</w:t>
      </w:r>
      <w:r w:rsidRPr="004D0DF7">
        <w:rPr>
          <w:rFonts w:asciiTheme="minorHAnsi" w:hAnsiTheme="minorHAnsi"/>
          <w:bCs/>
          <w:lang w:val="en-US"/>
        </w:rPr>
        <w:t>, 15, 9-19</w:t>
      </w:r>
    </w:p>
    <w:p w14:paraId="06AEACF3" w14:textId="1374664A" w:rsidR="0097499C" w:rsidRPr="004D0DF7" w:rsidRDefault="0097499C" w:rsidP="00352439">
      <w:pPr>
        <w:rPr>
          <w:rFonts w:asciiTheme="minorHAnsi" w:hAnsiTheme="minorHAnsi"/>
          <w:bCs/>
          <w:lang w:val="en-GB"/>
        </w:rPr>
      </w:pPr>
      <w:r w:rsidRPr="004D0DF7">
        <w:rPr>
          <w:rFonts w:asciiTheme="minorHAnsi" w:hAnsiTheme="minorHAnsi"/>
          <w:bCs/>
          <w:lang w:val="en-GB"/>
        </w:rPr>
        <w:t>Massarutto A., 2019</w:t>
      </w:r>
      <w:r w:rsidR="00483947" w:rsidRPr="004D0DF7">
        <w:rPr>
          <w:rFonts w:asciiTheme="minorHAnsi" w:hAnsiTheme="minorHAnsi"/>
          <w:bCs/>
          <w:lang w:val="en-GB"/>
        </w:rPr>
        <w:t>,</w:t>
      </w:r>
      <w:r w:rsidRPr="004D0DF7">
        <w:rPr>
          <w:rFonts w:asciiTheme="minorHAnsi" w:hAnsiTheme="minorHAnsi"/>
          <w:bCs/>
          <w:lang w:val="en-GB"/>
        </w:rPr>
        <w:t xml:space="preserve"> “Italian waste in the circular economy: an agenda for industry regulators”, </w:t>
      </w:r>
      <w:r w:rsidRPr="004D0DF7">
        <w:rPr>
          <w:rFonts w:asciiTheme="minorHAnsi" w:hAnsiTheme="minorHAnsi"/>
          <w:bCs/>
          <w:i/>
          <w:iCs/>
          <w:lang w:val="en-GB"/>
        </w:rPr>
        <w:t>Economia Pubblica</w:t>
      </w:r>
      <w:r w:rsidRPr="004D0DF7">
        <w:rPr>
          <w:rFonts w:asciiTheme="minorHAnsi" w:hAnsiTheme="minorHAnsi"/>
          <w:bCs/>
          <w:lang w:val="en-GB"/>
        </w:rPr>
        <w:t>, XLVI, 1, 9-48</w:t>
      </w:r>
    </w:p>
    <w:p w14:paraId="58476117" w14:textId="783D62E7" w:rsidR="002D47E1" w:rsidRPr="004D0DF7" w:rsidRDefault="002D47E1" w:rsidP="00352439">
      <w:pPr>
        <w:rPr>
          <w:rFonts w:asciiTheme="minorHAnsi" w:hAnsiTheme="minorHAnsi"/>
          <w:bCs/>
        </w:rPr>
      </w:pPr>
      <w:r w:rsidRPr="004D0DF7">
        <w:rPr>
          <w:rFonts w:asciiTheme="minorHAnsi" w:hAnsiTheme="minorHAnsi"/>
          <w:bCs/>
        </w:rPr>
        <w:t xml:space="preserve">Massarutto A., 2024, “Servizi idrici e rifiuti urbani”, in </w:t>
      </w:r>
      <w:proofErr w:type="spellStart"/>
      <w:proofErr w:type="gramStart"/>
      <w:r w:rsidRPr="004D0DF7">
        <w:t>C.Cambini</w:t>
      </w:r>
      <w:proofErr w:type="spellEnd"/>
      <w:proofErr w:type="gramEnd"/>
      <w:r w:rsidRPr="004D0DF7">
        <w:t xml:space="preserve">, </w:t>
      </w:r>
      <w:proofErr w:type="spellStart"/>
      <w:r w:rsidRPr="004D0DF7">
        <w:t>A.Manganelli</w:t>
      </w:r>
      <w:proofErr w:type="spellEnd"/>
      <w:r w:rsidRPr="004D0DF7">
        <w:t xml:space="preserve">, </w:t>
      </w:r>
      <w:proofErr w:type="spellStart"/>
      <w:r w:rsidRPr="004D0DF7">
        <w:t>G.Napolitano</w:t>
      </w:r>
      <w:proofErr w:type="spellEnd"/>
      <w:r w:rsidRPr="004D0DF7">
        <w:t xml:space="preserve">, </w:t>
      </w:r>
      <w:proofErr w:type="spellStart"/>
      <w:r w:rsidRPr="004D0DF7">
        <w:t>A.Nicita</w:t>
      </w:r>
      <w:proofErr w:type="spellEnd"/>
      <w:r w:rsidRPr="004D0DF7">
        <w:t xml:space="preserve">, </w:t>
      </w:r>
      <w:r w:rsidRPr="004D0DF7">
        <w:rPr>
          <w:i/>
          <w:iCs/>
        </w:rPr>
        <w:t>Economia e diritto della regolazione</w:t>
      </w:r>
      <w:r w:rsidRPr="004D0DF7">
        <w:t>, cap. XVIII, il Mulino, Bologna</w:t>
      </w:r>
    </w:p>
    <w:p w14:paraId="2A9E45E7" w14:textId="1D364C2F" w:rsidR="00C508FF" w:rsidRPr="004D0DF7" w:rsidRDefault="00C508FF" w:rsidP="00352439">
      <w:pPr>
        <w:rPr>
          <w:rFonts w:asciiTheme="minorHAnsi" w:hAnsiTheme="minorHAnsi"/>
          <w:bCs/>
        </w:rPr>
      </w:pPr>
      <w:r w:rsidRPr="004D0DF7">
        <w:rPr>
          <w:rFonts w:asciiTheme="minorHAnsi" w:hAnsiTheme="minorHAnsi"/>
          <w:bCs/>
        </w:rPr>
        <w:t xml:space="preserve">Massarutto A., 2025, “Eppur si muove. La gestione dei rifiuti urbani in Italia tra concorrenza, regolazione e gestione pubblica”, </w:t>
      </w:r>
      <w:r w:rsidRPr="004D0DF7">
        <w:rPr>
          <w:rFonts w:asciiTheme="minorHAnsi" w:hAnsiTheme="minorHAnsi"/>
          <w:bCs/>
          <w:i/>
          <w:iCs/>
        </w:rPr>
        <w:t>Economia Pubblica</w:t>
      </w:r>
      <w:r w:rsidRPr="004D0DF7">
        <w:rPr>
          <w:rFonts w:asciiTheme="minorHAnsi" w:hAnsiTheme="minorHAnsi"/>
          <w:bCs/>
        </w:rPr>
        <w:t>, in corso di pubblicazione</w:t>
      </w:r>
    </w:p>
    <w:p w14:paraId="0C6AA6BD" w14:textId="6F111AB5" w:rsidR="00302290" w:rsidRPr="004D0DF7" w:rsidRDefault="00302290" w:rsidP="00352439">
      <w:pPr>
        <w:rPr>
          <w:lang w:val="en-GB"/>
        </w:rPr>
      </w:pPr>
      <w:r w:rsidRPr="004D0DF7">
        <w:rPr>
          <w:rFonts w:asciiTheme="minorHAnsi" w:hAnsiTheme="minorHAnsi"/>
          <w:bCs/>
          <w:lang w:val="en-US"/>
        </w:rPr>
        <w:t xml:space="preserve">Massarutto A., Antonioli B., 2012, “The municipal waste management sector in Europe: shifting boundaries between public service and the market”, </w:t>
      </w:r>
      <w:r w:rsidRPr="004D0DF7">
        <w:rPr>
          <w:rFonts w:asciiTheme="minorHAnsi" w:hAnsiTheme="minorHAnsi"/>
          <w:bCs/>
          <w:i/>
          <w:iCs/>
          <w:lang w:val="en-US"/>
        </w:rPr>
        <w:t>Annals of Public and Cooperative Economics</w:t>
      </w:r>
      <w:r w:rsidRPr="004D0DF7">
        <w:rPr>
          <w:rFonts w:asciiTheme="minorHAnsi" w:hAnsiTheme="minorHAnsi"/>
          <w:bCs/>
          <w:lang w:val="en-US"/>
        </w:rPr>
        <w:t>, 83, 4, 505-532</w:t>
      </w:r>
    </w:p>
    <w:p w14:paraId="15E8FCE0" w14:textId="7DAE4735" w:rsidR="00685921" w:rsidRPr="004D0DF7" w:rsidRDefault="00685921" w:rsidP="00352439">
      <w:r w:rsidRPr="004D0DF7">
        <w:t xml:space="preserve">Monzani S., 2024, “Rifiuti. Gli impianti minimi nel servizio di gestione integrata dei rifiuti”, </w:t>
      </w:r>
      <w:proofErr w:type="spellStart"/>
      <w:r w:rsidRPr="004D0DF7">
        <w:rPr>
          <w:i/>
          <w:iCs/>
        </w:rPr>
        <w:t>Lexambiente</w:t>
      </w:r>
      <w:proofErr w:type="spellEnd"/>
      <w:r w:rsidRPr="004D0DF7">
        <w:t>, 3/06/2024, https://lexambiente.it/index.php/materie/rifiuti/dottrina179/rifiuti-gli-impianti-minimi-nel-servizio-di-gestione-integrata-dei-rifiuti</w:t>
      </w:r>
    </w:p>
    <w:p w14:paraId="642C6CFB" w14:textId="51AFB07C" w:rsidR="0067055B" w:rsidRPr="004D0DF7" w:rsidRDefault="0067055B" w:rsidP="00352439">
      <w:r w:rsidRPr="004D0DF7">
        <w:t xml:space="preserve">Musto D.L., 2024, “L’eterointegrazione del contratto e le Autorità amministrative indipendenti”, in </w:t>
      </w:r>
      <w:r w:rsidRPr="004D0DF7">
        <w:rPr>
          <w:i/>
          <w:iCs/>
        </w:rPr>
        <w:t>Diritti Fondamentali</w:t>
      </w:r>
      <w:r w:rsidRPr="004D0DF7">
        <w:t>, 3, 222-248, https://dirittifondamentali.it/wp-content/uploads/2024/11/Musto-Leterointegrazione-del-contratto-e-il-ruolo-delle-Autorita-Amministrative-Indipendenti.pdf</w:t>
      </w:r>
    </w:p>
    <w:p w14:paraId="0AD3CA1F" w14:textId="070EFD69" w:rsidR="002551BC" w:rsidRPr="004D0DF7" w:rsidRDefault="007B776E" w:rsidP="004906AE">
      <w:pPr>
        <w:rPr>
          <w:lang w:val="en-GB"/>
        </w:rPr>
      </w:pPr>
      <w:r w:rsidRPr="004D0DF7">
        <w:rPr>
          <w:lang w:val="en-GB"/>
        </w:rPr>
        <w:t>OECD, 2023, Competition in the Circular Economy, OECD</w:t>
      </w:r>
      <w:r w:rsidR="002551BC" w:rsidRPr="004D0DF7">
        <w:rPr>
          <w:lang w:val="en-GB"/>
        </w:rPr>
        <w:t xml:space="preserve"> Competition Policy Roundtable Background Note, www.oecd.org/daf/competition/competition-in-the-circular-economy-2023.pdf.</w:t>
      </w:r>
    </w:p>
    <w:p w14:paraId="3F5980C5" w14:textId="48477A67" w:rsidR="00D73F99" w:rsidRPr="004D0DF7" w:rsidRDefault="00D73F99" w:rsidP="004906AE">
      <w:r w:rsidRPr="004D0DF7">
        <w:t>Salvetti M., 202</w:t>
      </w:r>
      <w:r w:rsidR="00792C5A" w:rsidRPr="004D0DF7">
        <w:t>4</w:t>
      </w:r>
      <w:r w:rsidRPr="004D0DF7">
        <w:t xml:space="preserve">, </w:t>
      </w:r>
      <w:r w:rsidRPr="004D0DF7">
        <w:rPr>
          <w:i/>
          <w:iCs/>
        </w:rPr>
        <w:t xml:space="preserve">Municipal Waste Regulation in Europe: </w:t>
      </w:r>
      <w:proofErr w:type="spellStart"/>
      <w:r w:rsidRPr="004D0DF7">
        <w:rPr>
          <w:i/>
          <w:iCs/>
        </w:rPr>
        <w:t>Paving</w:t>
      </w:r>
      <w:proofErr w:type="spellEnd"/>
      <w:r w:rsidRPr="004D0DF7">
        <w:rPr>
          <w:i/>
          <w:iCs/>
        </w:rPr>
        <w:t xml:space="preserve"> the Way to Future Challenges</w:t>
      </w:r>
      <w:r w:rsidRPr="004D0DF7">
        <w:t xml:space="preserve">, </w:t>
      </w:r>
      <w:r w:rsidR="00792C5A" w:rsidRPr="004D0DF7">
        <w:t>Economia Pubblica (in corso di pubblicazione)</w:t>
      </w:r>
    </w:p>
    <w:p w14:paraId="674C24D4" w14:textId="6F2150E8" w:rsidR="00077A5E" w:rsidRPr="004D0DF7" w:rsidRDefault="00077A5E" w:rsidP="00352439">
      <w:pPr>
        <w:rPr>
          <w:lang w:val="en-GB"/>
        </w:rPr>
      </w:pPr>
      <w:r w:rsidRPr="004D0DF7">
        <w:rPr>
          <w:lang w:val="en-GB"/>
        </w:rPr>
        <w:t xml:space="preserve">Sappington D. E. e J. E. Stiglitz, 1987, “Privatization, information and incentives”, </w:t>
      </w:r>
      <w:r w:rsidRPr="004D0DF7">
        <w:rPr>
          <w:i/>
          <w:iCs/>
          <w:lang w:val="en-GB"/>
        </w:rPr>
        <w:t>Journal of Policy Analysis and Management</w:t>
      </w:r>
      <w:r w:rsidRPr="004D0DF7">
        <w:rPr>
          <w:lang w:val="en-GB"/>
        </w:rPr>
        <w:t>, pp. 567-82</w:t>
      </w:r>
    </w:p>
    <w:p w14:paraId="7102BC69" w14:textId="5A153DCA" w:rsidR="005E772C" w:rsidRPr="004D0DF7" w:rsidRDefault="005E772C" w:rsidP="00352439">
      <w:pPr>
        <w:rPr>
          <w:rFonts w:asciiTheme="minorHAnsi" w:hAnsiTheme="minorHAnsi" w:cstheme="minorHAnsi"/>
        </w:rPr>
      </w:pPr>
      <w:r w:rsidRPr="004D0DF7">
        <w:rPr>
          <w:rFonts w:asciiTheme="minorHAnsi" w:hAnsiTheme="minorHAnsi" w:cstheme="minorHAnsi"/>
        </w:rPr>
        <w:lastRenderedPageBreak/>
        <w:t>Senato della Repubblica, 2025, “</w:t>
      </w:r>
      <w:r w:rsidRPr="004D0DF7">
        <w:rPr>
          <w:rStyle w:val="fontstyle01"/>
          <w:rFonts w:asciiTheme="minorHAnsi" w:hAnsiTheme="minorHAnsi" w:cstheme="minorHAnsi"/>
          <w:sz w:val="22"/>
          <w:szCs w:val="22"/>
        </w:rPr>
        <w:t xml:space="preserve">Modifica del comma 527 dell'articolo 1 della legge 27 dicembre 2017, n. 205, volta alla ridefinizione dei compiti dell'Autorità di regolazione per energia, reti e ambiente (ARERA) in materia di gestione del ciclo dei rifiuti”, </w:t>
      </w:r>
      <w:r w:rsidRPr="004D0DF7">
        <w:rPr>
          <w:rFonts w:asciiTheme="minorHAnsi" w:hAnsiTheme="minorHAnsi" w:cstheme="minorHAnsi"/>
        </w:rPr>
        <w:t xml:space="preserve">DDL 1150 </w:t>
      </w:r>
      <w:r w:rsidR="00955651" w:rsidRPr="004D0DF7">
        <w:rPr>
          <w:rFonts w:asciiTheme="minorHAnsi" w:hAnsiTheme="minorHAnsi" w:cstheme="minorHAnsi"/>
        </w:rPr>
        <w:t xml:space="preserve">d’iniziativa del </w:t>
      </w:r>
      <w:r w:rsidRPr="004D0DF7">
        <w:rPr>
          <w:rFonts w:asciiTheme="minorHAnsi" w:hAnsiTheme="minorHAnsi" w:cstheme="minorHAnsi"/>
        </w:rPr>
        <w:t xml:space="preserve">sen. </w:t>
      </w:r>
      <w:proofErr w:type="spellStart"/>
      <w:r w:rsidR="00955651" w:rsidRPr="004D0DF7">
        <w:rPr>
          <w:rFonts w:asciiTheme="minorHAnsi" w:hAnsiTheme="minorHAnsi" w:cstheme="minorHAnsi"/>
        </w:rPr>
        <w:t>Fazzone</w:t>
      </w:r>
      <w:proofErr w:type="spellEnd"/>
      <w:r w:rsidR="00955651" w:rsidRPr="004D0DF7">
        <w:rPr>
          <w:rFonts w:asciiTheme="minorHAnsi" w:hAnsiTheme="minorHAnsi" w:cstheme="minorHAnsi"/>
        </w:rPr>
        <w:t>, www.senato.it</w:t>
      </w:r>
      <w:r w:rsidRPr="004D0DF7">
        <w:rPr>
          <w:rFonts w:asciiTheme="minorHAnsi" w:hAnsiTheme="minorHAnsi" w:cstheme="minorHAnsi"/>
        </w:rPr>
        <w:t xml:space="preserve"> </w:t>
      </w:r>
    </w:p>
    <w:p w14:paraId="025E8C98" w14:textId="6196CB51" w:rsidR="00C86CDA" w:rsidRPr="004D0DF7" w:rsidRDefault="00C86CDA" w:rsidP="00352439">
      <w:r w:rsidRPr="004D0DF7">
        <w:t xml:space="preserve">UPB (Ufficio Parlamentare di Bilancio), 2024, </w:t>
      </w:r>
      <w:r w:rsidR="007304D4" w:rsidRPr="004D0DF7">
        <w:rPr>
          <w:i/>
          <w:iCs/>
        </w:rPr>
        <w:t>La tassa sui rifiuti: carico fiscale, riscossione e implicazioni sui bilanci dei Comuni</w:t>
      </w:r>
      <w:r w:rsidR="007304D4" w:rsidRPr="004D0DF7">
        <w:t>, Focus tematico n. 5, 19/12/2024, https://www.upbilancio.it/wp-content/uploads/2024/12/Focus-5_2024_Tari.pdf</w:t>
      </w:r>
    </w:p>
    <w:p w14:paraId="5444BE21" w14:textId="622AC0E0" w:rsidR="00495206" w:rsidRDefault="00302290" w:rsidP="00352439">
      <w:pPr>
        <w:rPr>
          <w:lang w:val="en-GB"/>
        </w:rPr>
      </w:pPr>
      <w:r w:rsidRPr="004D0DF7">
        <w:rPr>
          <w:lang w:val="en-GB"/>
        </w:rPr>
        <w:t>Utilitatis, 2024, Green Book</w:t>
      </w:r>
      <w:r w:rsidR="00D73F99" w:rsidRPr="004D0DF7">
        <w:rPr>
          <w:lang w:val="en-GB"/>
        </w:rPr>
        <w:t>, Utilitatis, Roma</w:t>
      </w:r>
    </w:p>
    <w:sectPr w:rsidR="00495206" w:rsidSect="001A527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26DF3D" w14:textId="77777777" w:rsidR="006817E2" w:rsidRDefault="006817E2" w:rsidP="00650D31">
      <w:pPr>
        <w:spacing w:after="0" w:line="240" w:lineRule="auto"/>
      </w:pPr>
      <w:r>
        <w:separator/>
      </w:r>
    </w:p>
  </w:endnote>
  <w:endnote w:type="continuationSeparator" w:id="0">
    <w:p w14:paraId="4C36AB0D" w14:textId="77777777" w:rsidR="006817E2" w:rsidRDefault="006817E2" w:rsidP="00650D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imes">
    <w:panose1 w:val="02020603050405020304"/>
    <w:charset w:val="00"/>
    <w:family w:val="auto"/>
    <w:pitch w:val="variable"/>
    <w:sig w:usb0="E00002FF" w:usb1="5000205A" w:usb2="00000000" w:usb3="00000000" w:csb0="0000019F" w:csb1="00000000"/>
  </w:font>
  <w:font w:name="Times-Roman">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2FA83A" w14:textId="77777777" w:rsidR="006817E2" w:rsidRDefault="006817E2" w:rsidP="00650D31">
      <w:pPr>
        <w:spacing w:after="0" w:line="240" w:lineRule="auto"/>
      </w:pPr>
      <w:r>
        <w:separator/>
      </w:r>
    </w:p>
  </w:footnote>
  <w:footnote w:type="continuationSeparator" w:id="0">
    <w:p w14:paraId="2072C97B" w14:textId="77777777" w:rsidR="006817E2" w:rsidRDefault="006817E2" w:rsidP="00650D31">
      <w:pPr>
        <w:spacing w:after="0" w:line="240" w:lineRule="auto"/>
      </w:pPr>
      <w:r>
        <w:continuationSeparator/>
      </w:r>
    </w:p>
  </w:footnote>
  <w:footnote w:id="1">
    <w:p w14:paraId="352BED0F" w14:textId="7D742E6C" w:rsidR="002D7632" w:rsidRDefault="002D7632">
      <w:pPr>
        <w:pStyle w:val="Testonotaapidipagina"/>
      </w:pPr>
      <w:r>
        <w:rPr>
          <w:rStyle w:val="Rimandonotaapidipagina"/>
        </w:rPr>
        <w:footnoteRef/>
      </w:r>
      <w:r>
        <w:t xml:space="preserve"> Questo articolo è basato sui risultati della ricerca PRIN 2022 – 2022K5PSNP “CLIWEP” (Climbing the Waste Hierarchy, Enabling Factors and Policies), finanziato da EU </w:t>
      </w:r>
      <w:proofErr w:type="spellStart"/>
      <w:r>
        <w:t>NextGenerationEU</w:t>
      </w:r>
      <w:proofErr w:type="spellEnd"/>
      <w:r>
        <w:t xml:space="preserve">, PNRR M4C2 </w:t>
      </w:r>
      <w:proofErr w:type="spellStart"/>
      <w:r>
        <w:t>inv</w:t>
      </w:r>
      <w:proofErr w:type="spellEnd"/>
      <w:r>
        <w:t xml:space="preserve"> 1.1 CUP G53D23002060006</w:t>
      </w:r>
    </w:p>
  </w:footnote>
  <w:footnote w:id="2">
    <w:p w14:paraId="392FE929" w14:textId="7B1F07D0" w:rsidR="008437A8" w:rsidRDefault="008437A8">
      <w:pPr>
        <w:pStyle w:val="Testonotaapidipagina"/>
      </w:pPr>
      <w:r>
        <w:rPr>
          <w:rStyle w:val="Rimandonotaapidipagina"/>
        </w:rPr>
        <w:footnoteRef/>
      </w:r>
      <w:r>
        <w:t xml:space="preserve"> Desidero ringraziare i revisori anonimi che hanno discusso criticamente una precedente stesura del presente articolo, consentendomi di migliorarlo in molte parti. Sono grato a colleghi e amici che hanno a loro volta offerto commenti e spunti di riflessione di cui l’articolo si è molto giovato. Tra questi in particolare Vito Belladonna, Donato Berardi, Marcello Del Ben, Filippo Brandolini, Samuele Larzeni, Luca Mariotto, Giuseppe Rossi, </w:t>
      </w:r>
      <w:r w:rsidR="00EA70EB">
        <w:t>Andrea Sban</w:t>
      </w:r>
      <w:r w:rsidR="0071336F">
        <w:t>d</w:t>
      </w:r>
      <w:r w:rsidR="00EA70EB">
        <w:t xml:space="preserve">ati, </w:t>
      </w:r>
      <w:r>
        <w:t xml:space="preserve">Vittoria Tesei. Al solito, di ogni errore e omissione sono io l’unico responsabile </w:t>
      </w:r>
    </w:p>
  </w:footnote>
  <w:footnote w:id="3">
    <w:p w14:paraId="7ECA6A07" w14:textId="395F6557" w:rsidR="00AD393F" w:rsidRDefault="00AD393F">
      <w:pPr>
        <w:pStyle w:val="Testonotaapidipagina"/>
      </w:pPr>
      <w:r>
        <w:rPr>
          <w:rStyle w:val="Rimandonotaapidipagina"/>
        </w:rPr>
        <w:footnoteRef/>
      </w:r>
      <w:r>
        <w:t xml:space="preserve"> Il Codice dell’Ambiente classifica gli impianti di incenerimento come “smaltimento” o “recupero” a seconda che effettuino o meno il recupero di energia oltre una soglia minima. Gli impianti in esercizio in Italia sono </w:t>
      </w:r>
      <w:r w:rsidR="00A95B72">
        <w:t xml:space="preserve">ormai </w:t>
      </w:r>
      <w:r>
        <w:t>tutti attrezzati per il recupero di energia elettrica e/o calore e si classificano pertanto nella seconda categoria. Ad evitare equivoci, nel seguito useremo il termine “incenerimento” e “inceneritore” per gli impianti che effettuano il solo smaltimento e “termovalorizzazione”, “termovalorizzatore” o WtE (acronimo di “Waste to Energy”) per gli impianti che recuperano energia.</w:t>
      </w:r>
    </w:p>
  </w:footnote>
  <w:footnote w:id="4">
    <w:p w14:paraId="4CE4853F" w14:textId="0DED10F2" w:rsidR="006363C0" w:rsidRDefault="006363C0">
      <w:pPr>
        <w:pStyle w:val="Testonotaapidipagina"/>
      </w:pPr>
      <w:r>
        <w:rPr>
          <w:rStyle w:val="Rimandonotaapidipagina"/>
        </w:rPr>
        <w:footnoteRef/>
      </w:r>
      <w:r>
        <w:t xml:space="preserve"> Si vedano le sentenze 5257, 10548 e 10550 del 2023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996CF4"/>
    <w:multiLevelType w:val="hybridMultilevel"/>
    <w:tmpl w:val="465C831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4C02DBD"/>
    <w:multiLevelType w:val="hybridMultilevel"/>
    <w:tmpl w:val="E4089068"/>
    <w:lvl w:ilvl="0" w:tplc="8D3CD1A2">
      <w:start w:val="1"/>
      <w:numFmt w:val="bullet"/>
      <w:lvlText w:val="–"/>
      <w:lvlJc w:val="left"/>
      <w:pPr>
        <w:tabs>
          <w:tab w:val="num" w:pos="720"/>
        </w:tabs>
        <w:ind w:left="720" w:hanging="360"/>
      </w:pPr>
      <w:rPr>
        <w:rFonts w:ascii="Arial" w:hAnsi="Arial" w:hint="default"/>
      </w:rPr>
    </w:lvl>
    <w:lvl w:ilvl="1" w:tplc="E70C48C4">
      <w:start w:val="1"/>
      <w:numFmt w:val="bullet"/>
      <w:lvlText w:val="–"/>
      <w:lvlJc w:val="left"/>
      <w:pPr>
        <w:tabs>
          <w:tab w:val="num" w:pos="1440"/>
        </w:tabs>
        <w:ind w:left="1440" w:hanging="360"/>
      </w:pPr>
      <w:rPr>
        <w:rFonts w:ascii="Arial" w:hAnsi="Arial" w:hint="default"/>
      </w:rPr>
    </w:lvl>
    <w:lvl w:ilvl="2" w:tplc="DDAA5CD4" w:tentative="1">
      <w:start w:val="1"/>
      <w:numFmt w:val="bullet"/>
      <w:lvlText w:val="–"/>
      <w:lvlJc w:val="left"/>
      <w:pPr>
        <w:tabs>
          <w:tab w:val="num" w:pos="2160"/>
        </w:tabs>
        <w:ind w:left="2160" w:hanging="360"/>
      </w:pPr>
      <w:rPr>
        <w:rFonts w:ascii="Arial" w:hAnsi="Arial" w:hint="default"/>
      </w:rPr>
    </w:lvl>
    <w:lvl w:ilvl="3" w:tplc="CA2ED6DC" w:tentative="1">
      <w:start w:val="1"/>
      <w:numFmt w:val="bullet"/>
      <w:lvlText w:val="–"/>
      <w:lvlJc w:val="left"/>
      <w:pPr>
        <w:tabs>
          <w:tab w:val="num" w:pos="2880"/>
        </w:tabs>
        <w:ind w:left="2880" w:hanging="360"/>
      </w:pPr>
      <w:rPr>
        <w:rFonts w:ascii="Arial" w:hAnsi="Arial" w:hint="default"/>
      </w:rPr>
    </w:lvl>
    <w:lvl w:ilvl="4" w:tplc="5C88210A" w:tentative="1">
      <w:start w:val="1"/>
      <w:numFmt w:val="bullet"/>
      <w:lvlText w:val="–"/>
      <w:lvlJc w:val="left"/>
      <w:pPr>
        <w:tabs>
          <w:tab w:val="num" w:pos="3600"/>
        </w:tabs>
        <w:ind w:left="3600" w:hanging="360"/>
      </w:pPr>
      <w:rPr>
        <w:rFonts w:ascii="Arial" w:hAnsi="Arial" w:hint="default"/>
      </w:rPr>
    </w:lvl>
    <w:lvl w:ilvl="5" w:tplc="BD7E02BC" w:tentative="1">
      <w:start w:val="1"/>
      <w:numFmt w:val="bullet"/>
      <w:lvlText w:val="–"/>
      <w:lvlJc w:val="left"/>
      <w:pPr>
        <w:tabs>
          <w:tab w:val="num" w:pos="4320"/>
        </w:tabs>
        <w:ind w:left="4320" w:hanging="360"/>
      </w:pPr>
      <w:rPr>
        <w:rFonts w:ascii="Arial" w:hAnsi="Arial" w:hint="default"/>
      </w:rPr>
    </w:lvl>
    <w:lvl w:ilvl="6" w:tplc="5A98DB4A" w:tentative="1">
      <w:start w:val="1"/>
      <w:numFmt w:val="bullet"/>
      <w:lvlText w:val="–"/>
      <w:lvlJc w:val="left"/>
      <w:pPr>
        <w:tabs>
          <w:tab w:val="num" w:pos="5040"/>
        </w:tabs>
        <w:ind w:left="5040" w:hanging="360"/>
      </w:pPr>
      <w:rPr>
        <w:rFonts w:ascii="Arial" w:hAnsi="Arial" w:hint="default"/>
      </w:rPr>
    </w:lvl>
    <w:lvl w:ilvl="7" w:tplc="305E113E" w:tentative="1">
      <w:start w:val="1"/>
      <w:numFmt w:val="bullet"/>
      <w:lvlText w:val="–"/>
      <w:lvlJc w:val="left"/>
      <w:pPr>
        <w:tabs>
          <w:tab w:val="num" w:pos="5760"/>
        </w:tabs>
        <w:ind w:left="5760" w:hanging="360"/>
      </w:pPr>
      <w:rPr>
        <w:rFonts w:ascii="Arial" w:hAnsi="Arial" w:hint="default"/>
      </w:rPr>
    </w:lvl>
    <w:lvl w:ilvl="8" w:tplc="CD500FA8"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BF65681"/>
    <w:multiLevelType w:val="hybridMultilevel"/>
    <w:tmpl w:val="16C84068"/>
    <w:lvl w:ilvl="0" w:tplc="3F003672">
      <w:start w:val="560"/>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181505C"/>
    <w:multiLevelType w:val="hybridMultilevel"/>
    <w:tmpl w:val="3648F40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4A805D56"/>
    <w:multiLevelType w:val="hybridMultilevel"/>
    <w:tmpl w:val="C33208D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6F666333"/>
    <w:multiLevelType w:val="multilevel"/>
    <w:tmpl w:val="6570DAB6"/>
    <w:lvl w:ilvl="0">
      <w:start w:val="1"/>
      <w:numFmt w:val="decimal"/>
      <w:pStyle w:val="Titolo2"/>
      <w:lvlText w:val="%1."/>
      <w:lvlJc w:val="left"/>
      <w:pPr>
        <w:ind w:left="360" w:hanging="360"/>
      </w:pPr>
      <w:rPr>
        <w:rFonts w:hint="default"/>
      </w:rPr>
    </w:lvl>
    <w:lvl w:ilvl="1">
      <w:start w:val="1"/>
      <w:numFmt w:val="decimal"/>
      <w:pStyle w:val="Titolo3"/>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
  </w:num>
  <w:num w:numId="2">
    <w:abstractNumId w:val="1"/>
  </w:num>
  <w:num w:numId="3">
    <w:abstractNumId w:val="0"/>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hideSpellingErrors/>
  <w:hideGrammaticalErrors/>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616D"/>
    <w:rsid w:val="00004816"/>
    <w:rsid w:val="000058E7"/>
    <w:rsid w:val="00006078"/>
    <w:rsid w:val="00010A21"/>
    <w:rsid w:val="0001370C"/>
    <w:rsid w:val="00015AA6"/>
    <w:rsid w:val="00020F3A"/>
    <w:rsid w:val="0002189E"/>
    <w:rsid w:val="00024DA6"/>
    <w:rsid w:val="000317F2"/>
    <w:rsid w:val="000338F2"/>
    <w:rsid w:val="00035AB3"/>
    <w:rsid w:val="00036C85"/>
    <w:rsid w:val="00041332"/>
    <w:rsid w:val="000419E4"/>
    <w:rsid w:val="00044445"/>
    <w:rsid w:val="0004713C"/>
    <w:rsid w:val="00047B2C"/>
    <w:rsid w:val="000603B5"/>
    <w:rsid w:val="00061EC9"/>
    <w:rsid w:val="00066077"/>
    <w:rsid w:val="000704D8"/>
    <w:rsid w:val="000721D6"/>
    <w:rsid w:val="000731E7"/>
    <w:rsid w:val="00073C43"/>
    <w:rsid w:val="00077A5E"/>
    <w:rsid w:val="00083E48"/>
    <w:rsid w:val="00087265"/>
    <w:rsid w:val="00096599"/>
    <w:rsid w:val="00097366"/>
    <w:rsid w:val="00097D17"/>
    <w:rsid w:val="000A15C3"/>
    <w:rsid w:val="000A1DFF"/>
    <w:rsid w:val="000A205B"/>
    <w:rsid w:val="000A3447"/>
    <w:rsid w:val="000B0BEA"/>
    <w:rsid w:val="000B2F71"/>
    <w:rsid w:val="000B346F"/>
    <w:rsid w:val="000B507D"/>
    <w:rsid w:val="000B6FC0"/>
    <w:rsid w:val="000B767A"/>
    <w:rsid w:val="000B7832"/>
    <w:rsid w:val="000C08CC"/>
    <w:rsid w:val="000C1BD8"/>
    <w:rsid w:val="000C6038"/>
    <w:rsid w:val="000C6B3F"/>
    <w:rsid w:val="000D3D63"/>
    <w:rsid w:val="000D40F0"/>
    <w:rsid w:val="000D6967"/>
    <w:rsid w:val="000D7976"/>
    <w:rsid w:val="000E02CE"/>
    <w:rsid w:val="000E0545"/>
    <w:rsid w:val="000E19DC"/>
    <w:rsid w:val="000E3057"/>
    <w:rsid w:val="000E5681"/>
    <w:rsid w:val="000E746F"/>
    <w:rsid w:val="000E7D61"/>
    <w:rsid w:val="000F008B"/>
    <w:rsid w:val="000F6BC1"/>
    <w:rsid w:val="00101B7C"/>
    <w:rsid w:val="00103255"/>
    <w:rsid w:val="00104688"/>
    <w:rsid w:val="00110B18"/>
    <w:rsid w:val="00110BEB"/>
    <w:rsid w:val="001137C3"/>
    <w:rsid w:val="00114FF2"/>
    <w:rsid w:val="0011504E"/>
    <w:rsid w:val="00115FC0"/>
    <w:rsid w:val="001168BB"/>
    <w:rsid w:val="001201B0"/>
    <w:rsid w:val="001204CC"/>
    <w:rsid w:val="00127F34"/>
    <w:rsid w:val="00131E63"/>
    <w:rsid w:val="0013226D"/>
    <w:rsid w:val="001322C7"/>
    <w:rsid w:val="001322EE"/>
    <w:rsid w:val="00133B3F"/>
    <w:rsid w:val="00133FF2"/>
    <w:rsid w:val="00140FE2"/>
    <w:rsid w:val="00147FC7"/>
    <w:rsid w:val="00150964"/>
    <w:rsid w:val="00153154"/>
    <w:rsid w:val="00157B41"/>
    <w:rsid w:val="001660A4"/>
    <w:rsid w:val="001662CA"/>
    <w:rsid w:val="00166544"/>
    <w:rsid w:val="0016685D"/>
    <w:rsid w:val="00167E21"/>
    <w:rsid w:val="0017249E"/>
    <w:rsid w:val="0017264B"/>
    <w:rsid w:val="00172D5E"/>
    <w:rsid w:val="00172DA1"/>
    <w:rsid w:val="001739A1"/>
    <w:rsid w:val="001774BF"/>
    <w:rsid w:val="00181DD7"/>
    <w:rsid w:val="00187F4E"/>
    <w:rsid w:val="0019025B"/>
    <w:rsid w:val="001907EC"/>
    <w:rsid w:val="00192024"/>
    <w:rsid w:val="001928E1"/>
    <w:rsid w:val="001931FE"/>
    <w:rsid w:val="0019371D"/>
    <w:rsid w:val="00195BF8"/>
    <w:rsid w:val="001967DA"/>
    <w:rsid w:val="00196AF8"/>
    <w:rsid w:val="00197347"/>
    <w:rsid w:val="001A056F"/>
    <w:rsid w:val="001A1029"/>
    <w:rsid w:val="001A2526"/>
    <w:rsid w:val="001A4861"/>
    <w:rsid w:val="001A5274"/>
    <w:rsid w:val="001B2849"/>
    <w:rsid w:val="001B3333"/>
    <w:rsid w:val="001B658D"/>
    <w:rsid w:val="001B7138"/>
    <w:rsid w:val="001C0B6E"/>
    <w:rsid w:val="001C4E0C"/>
    <w:rsid w:val="001C4FB6"/>
    <w:rsid w:val="001C5ED7"/>
    <w:rsid w:val="001C6CCC"/>
    <w:rsid w:val="001D0D1E"/>
    <w:rsid w:val="001D42A6"/>
    <w:rsid w:val="001E0820"/>
    <w:rsid w:val="001E111C"/>
    <w:rsid w:val="001E4FFA"/>
    <w:rsid w:val="001E7A15"/>
    <w:rsid w:val="001E7CA6"/>
    <w:rsid w:val="001F0B76"/>
    <w:rsid w:val="001F10CD"/>
    <w:rsid w:val="001F37C8"/>
    <w:rsid w:val="001F3EFA"/>
    <w:rsid w:val="001F4141"/>
    <w:rsid w:val="001F6128"/>
    <w:rsid w:val="00203730"/>
    <w:rsid w:val="0020386F"/>
    <w:rsid w:val="0020433E"/>
    <w:rsid w:val="0021087C"/>
    <w:rsid w:val="00212E47"/>
    <w:rsid w:val="00216E2E"/>
    <w:rsid w:val="00221763"/>
    <w:rsid w:val="00223007"/>
    <w:rsid w:val="0022579B"/>
    <w:rsid w:val="00226241"/>
    <w:rsid w:val="00227A25"/>
    <w:rsid w:val="00230DA6"/>
    <w:rsid w:val="00235DFE"/>
    <w:rsid w:val="002370E0"/>
    <w:rsid w:val="00237ABE"/>
    <w:rsid w:val="00242BD0"/>
    <w:rsid w:val="00243912"/>
    <w:rsid w:val="00244C82"/>
    <w:rsid w:val="00245B6A"/>
    <w:rsid w:val="00246473"/>
    <w:rsid w:val="002469B7"/>
    <w:rsid w:val="00251C50"/>
    <w:rsid w:val="002551BC"/>
    <w:rsid w:val="0025627A"/>
    <w:rsid w:val="00256632"/>
    <w:rsid w:val="002612C2"/>
    <w:rsid w:val="002679EB"/>
    <w:rsid w:val="0027109F"/>
    <w:rsid w:val="00272AAC"/>
    <w:rsid w:val="00275C89"/>
    <w:rsid w:val="002764E1"/>
    <w:rsid w:val="002839D0"/>
    <w:rsid w:val="00284508"/>
    <w:rsid w:val="00285DEA"/>
    <w:rsid w:val="00286F9E"/>
    <w:rsid w:val="002910CE"/>
    <w:rsid w:val="00291290"/>
    <w:rsid w:val="00292009"/>
    <w:rsid w:val="00296969"/>
    <w:rsid w:val="00296E09"/>
    <w:rsid w:val="00297B32"/>
    <w:rsid w:val="00297F0A"/>
    <w:rsid w:val="002A01EC"/>
    <w:rsid w:val="002A0BA6"/>
    <w:rsid w:val="002A2207"/>
    <w:rsid w:val="002A5047"/>
    <w:rsid w:val="002A6E06"/>
    <w:rsid w:val="002B0ED7"/>
    <w:rsid w:val="002C2306"/>
    <w:rsid w:val="002C2922"/>
    <w:rsid w:val="002C3185"/>
    <w:rsid w:val="002C6F09"/>
    <w:rsid w:val="002D05B8"/>
    <w:rsid w:val="002D0ADB"/>
    <w:rsid w:val="002D1536"/>
    <w:rsid w:val="002D47E1"/>
    <w:rsid w:val="002D74D3"/>
    <w:rsid w:val="002D7632"/>
    <w:rsid w:val="002D7A9F"/>
    <w:rsid w:val="002E01C7"/>
    <w:rsid w:val="002E1AE6"/>
    <w:rsid w:val="002E230C"/>
    <w:rsid w:val="002F141C"/>
    <w:rsid w:val="002F46FF"/>
    <w:rsid w:val="00302290"/>
    <w:rsid w:val="00302935"/>
    <w:rsid w:val="00304E4C"/>
    <w:rsid w:val="003053D7"/>
    <w:rsid w:val="00307FE1"/>
    <w:rsid w:val="003116E5"/>
    <w:rsid w:val="0031310B"/>
    <w:rsid w:val="00313527"/>
    <w:rsid w:val="003139F7"/>
    <w:rsid w:val="0031652F"/>
    <w:rsid w:val="00321E2C"/>
    <w:rsid w:val="00322518"/>
    <w:rsid w:val="00324B43"/>
    <w:rsid w:val="00325915"/>
    <w:rsid w:val="00330CCE"/>
    <w:rsid w:val="0033265C"/>
    <w:rsid w:val="003331D2"/>
    <w:rsid w:val="00341775"/>
    <w:rsid w:val="00344863"/>
    <w:rsid w:val="00345983"/>
    <w:rsid w:val="00345A0D"/>
    <w:rsid w:val="00347F46"/>
    <w:rsid w:val="00352439"/>
    <w:rsid w:val="00352DA8"/>
    <w:rsid w:val="0035329F"/>
    <w:rsid w:val="00355701"/>
    <w:rsid w:val="0035597B"/>
    <w:rsid w:val="00356D37"/>
    <w:rsid w:val="00357372"/>
    <w:rsid w:val="003616AC"/>
    <w:rsid w:val="0036347D"/>
    <w:rsid w:val="0036543E"/>
    <w:rsid w:val="003703EA"/>
    <w:rsid w:val="003717F7"/>
    <w:rsid w:val="00373CF8"/>
    <w:rsid w:val="00373DAA"/>
    <w:rsid w:val="00374742"/>
    <w:rsid w:val="00380819"/>
    <w:rsid w:val="003824F5"/>
    <w:rsid w:val="00383845"/>
    <w:rsid w:val="003862ED"/>
    <w:rsid w:val="00386AE8"/>
    <w:rsid w:val="0039041E"/>
    <w:rsid w:val="00391AA5"/>
    <w:rsid w:val="003941C7"/>
    <w:rsid w:val="00397CBB"/>
    <w:rsid w:val="003A0B62"/>
    <w:rsid w:val="003A1DF6"/>
    <w:rsid w:val="003A2814"/>
    <w:rsid w:val="003A49D8"/>
    <w:rsid w:val="003B17D9"/>
    <w:rsid w:val="003B5DC7"/>
    <w:rsid w:val="003B600F"/>
    <w:rsid w:val="003C1CDD"/>
    <w:rsid w:val="003C1F1C"/>
    <w:rsid w:val="003C386D"/>
    <w:rsid w:val="003C7680"/>
    <w:rsid w:val="003D0487"/>
    <w:rsid w:val="003D0874"/>
    <w:rsid w:val="003D4189"/>
    <w:rsid w:val="003D636C"/>
    <w:rsid w:val="003D771F"/>
    <w:rsid w:val="003E1CBA"/>
    <w:rsid w:val="003E2B74"/>
    <w:rsid w:val="003E58A2"/>
    <w:rsid w:val="003E5ABE"/>
    <w:rsid w:val="003E69AB"/>
    <w:rsid w:val="003E6CC7"/>
    <w:rsid w:val="003F44AD"/>
    <w:rsid w:val="00400D88"/>
    <w:rsid w:val="00403089"/>
    <w:rsid w:val="004045C9"/>
    <w:rsid w:val="0040777A"/>
    <w:rsid w:val="004146D3"/>
    <w:rsid w:val="0041718F"/>
    <w:rsid w:val="00417D28"/>
    <w:rsid w:val="00425B65"/>
    <w:rsid w:val="00432EC3"/>
    <w:rsid w:val="00441EE1"/>
    <w:rsid w:val="00443405"/>
    <w:rsid w:val="00446BA4"/>
    <w:rsid w:val="00450E14"/>
    <w:rsid w:val="00451900"/>
    <w:rsid w:val="0045547D"/>
    <w:rsid w:val="0045583B"/>
    <w:rsid w:val="00462203"/>
    <w:rsid w:val="00464386"/>
    <w:rsid w:val="0046466F"/>
    <w:rsid w:val="004650F7"/>
    <w:rsid w:val="00465A61"/>
    <w:rsid w:val="004678BB"/>
    <w:rsid w:val="0047198B"/>
    <w:rsid w:val="00474FCE"/>
    <w:rsid w:val="004757C4"/>
    <w:rsid w:val="0047675B"/>
    <w:rsid w:val="00482390"/>
    <w:rsid w:val="00482999"/>
    <w:rsid w:val="00482AAE"/>
    <w:rsid w:val="00483947"/>
    <w:rsid w:val="004841EE"/>
    <w:rsid w:val="00485F78"/>
    <w:rsid w:val="00485FFF"/>
    <w:rsid w:val="00486313"/>
    <w:rsid w:val="004906AE"/>
    <w:rsid w:val="004919FE"/>
    <w:rsid w:val="004920C0"/>
    <w:rsid w:val="00494346"/>
    <w:rsid w:val="00495206"/>
    <w:rsid w:val="00495B0D"/>
    <w:rsid w:val="00495FAD"/>
    <w:rsid w:val="00496816"/>
    <w:rsid w:val="004A0F78"/>
    <w:rsid w:val="004A5687"/>
    <w:rsid w:val="004B0000"/>
    <w:rsid w:val="004B3011"/>
    <w:rsid w:val="004B43B7"/>
    <w:rsid w:val="004B6F7F"/>
    <w:rsid w:val="004C161E"/>
    <w:rsid w:val="004C4865"/>
    <w:rsid w:val="004C4E47"/>
    <w:rsid w:val="004C5087"/>
    <w:rsid w:val="004C60F4"/>
    <w:rsid w:val="004C6182"/>
    <w:rsid w:val="004C7510"/>
    <w:rsid w:val="004D075D"/>
    <w:rsid w:val="004D0DF7"/>
    <w:rsid w:val="004D2E8A"/>
    <w:rsid w:val="004D350C"/>
    <w:rsid w:val="004D71BC"/>
    <w:rsid w:val="004E2EA1"/>
    <w:rsid w:val="004E6318"/>
    <w:rsid w:val="004F0B0F"/>
    <w:rsid w:val="00503175"/>
    <w:rsid w:val="005039CC"/>
    <w:rsid w:val="00510D7E"/>
    <w:rsid w:val="00510F5A"/>
    <w:rsid w:val="005136F9"/>
    <w:rsid w:val="00513FAF"/>
    <w:rsid w:val="00515B0A"/>
    <w:rsid w:val="00517002"/>
    <w:rsid w:val="0051771E"/>
    <w:rsid w:val="00520524"/>
    <w:rsid w:val="005229B3"/>
    <w:rsid w:val="005258D7"/>
    <w:rsid w:val="00525CC1"/>
    <w:rsid w:val="00531310"/>
    <w:rsid w:val="005317E8"/>
    <w:rsid w:val="005345F3"/>
    <w:rsid w:val="00535885"/>
    <w:rsid w:val="00536897"/>
    <w:rsid w:val="00540906"/>
    <w:rsid w:val="005434C0"/>
    <w:rsid w:val="005447F3"/>
    <w:rsid w:val="005513FF"/>
    <w:rsid w:val="00556201"/>
    <w:rsid w:val="00556C65"/>
    <w:rsid w:val="00556F9D"/>
    <w:rsid w:val="00557EDE"/>
    <w:rsid w:val="00562F27"/>
    <w:rsid w:val="00563178"/>
    <w:rsid w:val="00563CF1"/>
    <w:rsid w:val="00565AA1"/>
    <w:rsid w:val="005716C8"/>
    <w:rsid w:val="00573A56"/>
    <w:rsid w:val="00573BDF"/>
    <w:rsid w:val="00574A20"/>
    <w:rsid w:val="005765D4"/>
    <w:rsid w:val="00576BAE"/>
    <w:rsid w:val="005773C2"/>
    <w:rsid w:val="00577902"/>
    <w:rsid w:val="00590043"/>
    <w:rsid w:val="00590094"/>
    <w:rsid w:val="00590117"/>
    <w:rsid w:val="005901EE"/>
    <w:rsid w:val="005904DE"/>
    <w:rsid w:val="005965FB"/>
    <w:rsid w:val="005A3814"/>
    <w:rsid w:val="005A4B59"/>
    <w:rsid w:val="005A552D"/>
    <w:rsid w:val="005A5D28"/>
    <w:rsid w:val="005A6D1B"/>
    <w:rsid w:val="005A7019"/>
    <w:rsid w:val="005B01D5"/>
    <w:rsid w:val="005B37D2"/>
    <w:rsid w:val="005B43E2"/>
    <w:rsid w:val="005B44A8"/>
    <w:rsid w:val="005C0D28"/>
    <w:rsid w:val="005C28A7"/>
    <w:rsid w:val="005C3265"/>
    <w:rsid w:val="005C3FF9"/>
    <w:rsid w:val="005C47BA"/>
    <w:rsid w:val="005C5DE2"/>
    <w:rsid w:val="005D09F9"/>
    <w:rsid w:val="005D1CB8"/>
    <w:rsid w:val="005D1D36"/>
    <w:rsid w:val="005D1ED6"/>
    <w:rsid w:val="005D4932"/>
    <w:rsid w:val="005D6EE6"/>
    <w:rsid w:val="005D74B5"/>
    <w:rsid w:val="005E37D4"/>
    <w:rsid w:val="005E76BD"/>
    <w:rsid w:val="005E772C"/>
    <w:rsid w:val="005E7EDD"/>
    <w:rsid w:val="005F0C16"/>
    <w:rsid w:val="005F52FF"/>
    <w:rsid w:val="005F7EBE"/>
    <w:rsid w:val="00600B2A"/>
    <w:rsid w:val="00602806"/>
    <w:rsid w:val="006102EA"/>
    <w:rsid w:val="00611C0C"/>
    <w:rsid w:val="00614C22"/>
    <w:rsid w:val="00617C8A"/>
    <w:rsid w:val="006248C5"/>
    <w:rsid w:val="006337D3"/>
    <w:rsid w:val="00634081"/>
    <w:rsid w:val="006363C0"/>
    <w:rsid w:val="006375F2"/>
    <w:rsid w:val="00641250"/>
    <w:rsid w:val="00643D6E"/>
    <w:rsid w:val="00644EB6"/>
    <w:rsid w:val="00644EDE"/>
    <w:rsid w:val="0064772E"/>
    <w:rsid w:val="00650D31"/>
    <w:rsid w:val="00651EE2"/>
    <w:rsid w:val="006523D6"/>
    <w:rsid w:val="0065285D"/>
    <w:rsid w:val="00662808"/>
    <w:rsid w:val="00663AF1"/>
    <w:rsid w:val="006642C4"/>
    <w:rsid w:val="006659D7"/>
    <w:rsid w:val="0067055B"/>
    <w:rsid w:val="00671375"/>
    <w:rsid w:val="0067154D"/>
    <w:rsid w:val="00671F4C"/>
    <w:rsid w:val="00674949"/>
    <w:rsid w:val="00675CA9"/>
    <w:rsid w:val="006773B9"/>
    <w:rsid w:val="006817E2"/>
    <w:rsid w:val="00681D86"/>
    <w:rsid w:val="00685921"/>
    <w:rsid w:val="00694141"/>
    <w:rsid w:val="006949B4"/>
    <w:rsid w:val="00694E8C"/>
    <w:rsid w:val="006A009B"/>
    <w:rsid w:val="006A0B4A"/>
    <w:rsid w:val="006A2E7C"/>
    <w:rsid w:val="006A6764"/>
    <w:rsid w:val="006B159F"/>
    <w:rsid w:val="006B26C2"/>
    <w:rsid w:val="006B294E"/>
    <w:rsid w:val="006C1FBA"/>
    <w:rsid w:val="006C2C91"/>
    <w:rsid w:val="006C4949"/>
    <w:rsid w:val="006C6B28"/>
    <w:rsid w:val="006C799A"/>
    <w:rsid w:val="006C7E87"/>
    <w:rsid w:val="006D3D4C"/>
    <w:rsid w:val="006D5E62"/>
    <w:rsid w:val="006D6717"/>
    <w:rsid w:val="006D6DEE"/>
    <w:rsid w:val="006D71C4"/>
    <w:rsid w:val="006E534C"/>
    <w:rsid w:val="006F4B53"/>
    <w:rsid w:val="006F5B8C"/>
    <w:rsid w:val="007033A7"/>
    <w:rsid w:val="00705447"/>
    <w:rsid w:val="00705767"/>
    <w:rsid w:val="0071336F"/>
    <w:rsid w:val="00715F90"/>
    <w:rsid w:val="00722757"/>
    <w:rsid w:val="00722EFD"/>
    <w:rsid w:val="00724605"/>
    <w:rsid w:val="007250DE"/>
    <w:rsid w:val="007304D4"/>
    <w:rsid w:val="00731502"/>
    <w:rsid w:val="007327F7"/>
    <w:rsid w:val="00733ACC"/>
    <w:rsid w:val="007367AD"/>
    <w:rsid w:val="007370EE"/>
    <w:rsid w:val="0074203A"/>
    <w:rsid w:val="007424C8"/>
    <w:rsid w:val="00744240"/>
    <w:rsid w:val="00745A6D"/>
    <w:rsid w:val="00746476"/>
    <w:rsid w:val="007467B6"/>
    <w:rsid w:val="0075053C"/>
    <w:rsid w:val="00753773"/>
    <w:rsid w:val="00754D85"/>
    <w:rsid w:val="007602F1"/>
    <w:rsid w:val="0076083A"/>
    <w:rsid w:val="007620D0"/>
    <w:rsid w:val="007622C4"/>
    <w:rsid w:val="00762B3A"/>
    <w:rsid w:val="00764E36"/>
    <w:rsid w:val="00765D0B"/>
    <w:rsid w:val="00765F47"/>
    <w:rsid w:val="00766ABC"/>
    <w:rsid w:val="00770595"/>
    <w:rsid w:val="00770AF3"/>
    <w:rsid w:val="00771558"/>
    <w:rsid w:val="00773A5A"/>
    <w:rsid w:val="007760DF"/>
    <w:rsid w:val="00776250"/>
    <w:rsid w:val="00777019"/>
    <w:rsid w:val="00777E4E"/>
    <w:rsid w:val="00784455"/>
    <w:rsid w:val="00792142"/>
    <w:rsid w:val="00792C5A"/>
    <w:rsid w:val="00793028"/>
    <w:rsid w:val="00794564"/>
    <w:rsid w:val="00794C38"/>
    <w:rsid w:val="00797261"/>
    <w:rsid w:val="007A49BF"/>
    <w:rsid w:val="007A7285"/>
    <w:rsid w:val="007A7C3A"/>
    <w:rsid w:val="007B42AA"/>
    <w:rsid w:val="007B472F"/>
    <w:rsid w:val="007B5BE8"/>
    <w:rsid w:val="007B5DA6"/>
    <w:rsid w:val="007B6CAC"/>
    <w:rsid w:val="007B776E"/>
    <w:rsid w:val="007C300D"/>
    <w:rsid w:val="007C56DA"/>
    <w:rsid w:val="007C70C4"/>
    <w:rsid w:val="007C7616"/>
    <w:rsid w:val="007D0737"/>
    <w:rsid w:val="007D6A40"/>
    <w:rsid w:val="007E187A"/>
    <w:rsid w:val="007E32A1"/>
    <w:rsid w:val="007E4CC7"/>
    <w:rsid w:val="007E5A13"/>
    <w:rsid w:val="007E627A"/>
    <w:rsid w:val="007F0710"/>
    <w:rsid w:val="007F7FEE"/>
    <w:rsid w:val="00800347"/>
    <w:rsid w:val="00800EE7"/>
    <w:rsid w:val="0080203D"/>
    <w:rsid w:val="008038F2"/>
    <w:rsid w:val="00803C66"/>
    <w:rsid w:val="00804F57"/>
    <w:rsid w:val="00814F7B"/>
    <w:rsid w:val="0081748C"/>
    <w:rsid w:val="00821A15"/>
    <w:rsid w:val="0082421B"/>
    <w:rsid w:val="0082570F"/>
    <w:rsid w:val="008315D9"/>
    <w:rsid w:val="00831C85"/>
    <w:rsid w:val="008327E1"/>
    <w:rsid w:val="00834655"/>
    <w:rsid w:val="00842296"/>
    <w:rsid w:val="008437A8"/>
    <w:rsid w:val="008507AD"/>
    <w:rsid w:val="00856E33"/>
    <w:rsid w:val="00857AC6"/>
    <w:rsid w:val="0086463D"/>
    <w:rsid w:val="008671B4"/>
    <w:rsid w:val="00867E3F"/>
    <w:rsid w:val="00870863"/>
    <w:rsid w:val="00870D44"/>
    <w:rsid w:val="00871696"/>
    <w:rsid w:val="00871A25"/>
    <w:rsid w:val="008809F1"/>
    <w:rsid w:val="00883303"/>
    <w:rsid w:val="00885FA1"/>
    <w:rsid w:val="008874C3"/>
    <w:rsid w:val="00890FAE"/>
    <w:rsid w:val="0089567D"/>
    <w:rsid w:val="00896E55"/>
    <w:rsid w:val="008A2DDB"/>
    <w:rsid w:val="008A3A89"/>
    <w:rsid w:val="008A4FD6"/>
    <w:rsid w:val="008A557B"/>
    <w:rsid w:val="008A7D3D"/>
    <w:rsid w:val="008B07A7"/>
    <w:rsid w:val="008B1AF3"/>
    <w:rsid w:val="008B20F4"/>
    <w:rsid w:val="008B2DE7"/>
    <w:rsid w:val="008B3F5C"/>
    <w:rsid w:val="008B5C32"/>
    <w:rsid w:val="008C118E"/>
    <w:rsid w:val="008C23A0"/>
    <w:rsid w:val="008C2F04"/>
    <w:rsid w:val="008C4983"/>
    <w:rsid w:val="008C5121"/>
    <w:rsid w:val="008C67BB"/>
    <w:rsid w:val="008C7DDB"/>
    <w:rsid w:val="008D0CB7"/>
    <w:rsid w:val="008D31EB"/>
    <w:rsid w:val="008D326A"/>
    <w:rsid w:val="008D7260"/>
    <w:rsid w:val="008D7CBB"/>
    <w:rsid w:val="008E6FD5"/>
    <w:rsid w:val="008F1163"/>
    <w:rsid w:val="008F4E9E"/>
    <w:rsid w:val="008F6023"/>
    <w:rsid w:val="008F6F9C"/>
    <w:rsid w:val="009018A8"/>
    <w:rsid w:val="0090267C"/>
    <w:rsid w:val="00904798"/>
    <w:rsid w:val="0090642F"/>
    <w:rsid w:val="00906A88"/>
    <w:rsid w:val="00910CA6"/>
    <w:rsid w:val="00915FA1"/>
    <w:rsid w:val="009229D7"/>
    <w:rsid w:val="00925A0E"/>
    <w:rsid w:val="00925F03"/>
    <w:rsid w:val="009276FF"/>
    <w:rsid w:val="009302EA"/>
    <w:rsid w:val="00933781"/>
    <w:rsid w:val="00934497"/>
    <w:rsid w:val="00935EB5"/>
    <w:rsid w:val="00937536"/>
    <w:rsid w:val="00937E52"/>
    <w:rsid w:val="00940AC4"/>
    <w:rsid w:val="00940DB2"/>
    <w:rsid w:val="0094602A"/>
    <w:rsid w:val="0094721C"/>
    <w:rsid w:val="00947CAC"/>
    <w:rsid w:val="00947E40"/>
    <w:rsid w:val="00950B76"/>
    <w:rsid w:val="00955651"/>
    <w:rsid w:val="00960492"/>
    <w:rsid w:val="00962A07"/>
    <w:rsid w:val="00963296"/>
    <w:rsid w:val="00965888"/>
    <w:rsid w:val="00966E6D"/>
    <w:rsid w:val="0096747B"/>
    <w:rsid w:val="00970385"/>
    <w:rsid w:val="00971773"/>
    <w:rsid w:val="00971E34"/>
    <w:rsid w:val="00972077"/>
    <w:rsid w:val="009722C6"/>
    <w:rsid w:val="009723C0"/>
    <w:rsid w:val="00972662"/>
    <w:rsid w:val="00974336"/>
    <w:rsid w:val="0097499C"/>
    <w:rsid w:val="00980542"/>
    <w:rsid w:val="009831F0"/>
    <w:rsid w:val="00984BE2"/>
    <w:rsid w:val="00987474"/>
    <w:rsid w:val="00992A94"/>
    <w:rsid w:val="0099788C"/>
    <w:rsid w:val="009A2A75"/>
    <w:rsid w:val="009B15B8"/>
    <w:rsid w:val="009B45BD"/>
    <w:rsid w:val="009B5E47"/>
    <w:rsid w:val="009B7CC1"/>
    <w:rsid w:val="009C07CD"/>
    <w:rsid w:val="009C1D37"/>
    <w:rsid w:val="009C35C9"/>
    <w:rsid w:val="009C3D52"/>
    <w:rsid w:val="009C599B"/>
    <w:rsid w:val="009D0497"/>
    <w:rsid w:val="009D4636"/>
    <w:rsid w:val="009D4FD0"/>
    <w:rsid w:val="009D6094"/>
    <w:rsid w:val="009E6B8F"/>
    <w:rsid w:val="009F0E5D"/>
    <w:rsid w:val="009F1905"/>
    <w:rsid w:val="009F3E06"/>
    <w:rsid w:val="00A048E0"/>
    <w:rsid w:val="00A06018"/>
    <w:rsid w:val="00A12004"/>
    <w:rsid w:val="00A1284D"/>
    <w:rsid w:val="00A1320D"/>
    <w:rsid w:val="00A2310E"/>
    <w:rsid w:val="00A25727"/>
    <w:rsid w:val="00A26A9A"/>
    <w:rsid w:val="00A30D1A"/>
    <w:rsid w:val="00A344F9"/>
    <w:rsid w:val="00A36E10"/>
    <w:rsid w:val="00A46842"/>
    <w:rsid w:val="00A520DD"/>
    <w:rsid w:val="00A52C8C"/>
    <w:rsid w:val="00A57FCE"/>
    <w:rsid w:val="00A61A8E"/>
    <w:rsid w:val="00A66563"/>
    <w:rsid w:val="00A73FD3"/>
    <w:rsid w:val="00A8116F"/>
    <w:rsid w:val="00A842FC"/>
    <w:rsid w:val="00A90442"/>
    <w:rsid w:val="00A93653"/>
    <w:rsid w:val="00A95B72"/>
    <w:rsid w:val="00A96120"/>
    <w:rsid w:val="00AA231D"/>
    <w:rsid w:val="00AA432E"/>
    <w:rsid w:val="00AB182A"/>
    <w:rsid w:val="00AB52C7"/>
    <w:rsid w:val="00AB5C92"/>
    <w:rsid w:val="00AB755F"/>
    <w:rsid w:val="00AC10D5"/>
    <w:rsid w:val="00AC2F8B"/>
    <w:rsid w:val="00AC3ED5"/>
    <w:rsid w:val="00AD3511"/>
    <w:rsid w:val="00AD393F"/>
    <w:rsid w:val="00AD4055"/>
    <w:rsid w:val="00AD4B9C"/>
    <w:rsid w:val="00AD52D2"/>
    <w:rsid w:val="00AD650E"/>
    <w:rsid w:val="00AE2D11"/>
    <w:rsid w:val="00AE48FD"/>
    <w:rsid w:val="00AF1DDE"/>
    <w:rsid w:val="00AF4474"/>
    <w:rsid w:val="00AF61A6"/>
    <w:rsid w:val="00AF6651"/>
    <w:rsid w:val="00AF7547"/>
    <w:rsid w:val="00B00363"/>
    <w:rsid w:val="00B014F1"/>
    <w:rsid w:val="00B03B20"/>
    <w:rsid w:val="00B046E2"/>
    <w:rsid w:val="00B135AD"/>
    <w:rsid w:val="00B22098"/>
    <w:rsid w:val="00B23EBD"/>
    <w:rsid w:val="00B2506F"/>
    <w:rsid w:val="00B26001"/>
    <w:rsid w:val="00B27D0D"/>
    <w:rsid w:val="00B327DA"/>
    <w:rsid w:val="00B32F97"/>
    <w:rsid w:val="00B344AE"/>
    <w:rsid w:val="00B346B9"/>
    <w:rsid w:val="00B37645"/>
    <w:rsid w:val="00B37A8B"/>
    <w:rsid w:val="00B430E9"/>
    <w:rsid w:val="00B44F59"/>
    <w:rsid w:val="00B45F54"/>
    <w:rsid w:val="00B47B50"/>
    <w:rsid w:val="00B5632E"/>
    <w:rsid w:val="00B56413"/>
    <w:rsid w:val="00B5657E"/>
    <w:rsid w:val="00B56D1D"/>
    <w:rsid w:val="00B6082F"/>
    <w:rsid w:val="00B6090A"/>
    <w:rsid w:val="00B61A8B"/>
    <w:rsid w:val="00B61B9F"/>
    <w:rsid w:val="00B65A7F"/>
    <w:rsid w:val="00B700DA"/>
    <w:rsid w:val="00B7264C"/>
    <w:rsid w:val="00B732B5"/>
    <w:rsid w:val="00B73663"/>
    <w:rsid w:val="00B736DB"/>
    <w:rsid w:val="00B74F33"/>
    <w:rsid w:val="00B75C34"/>
    <w:rsid w:val="00B77FAE"/>
    <w:rsid w:val="00B80BFB"/>
    <w:rsid w:val="00B80F6E"/>
    <w:rsid w:val="00B84420"/>
    <w:rsid w:val="00B848AE"/>
    <w:rsid w:val="00B85F27"/>
    <w:rsid w:val="00B87069"/>
    <w:rsid w:val="00B90C30"/>
    <w:rsid w:val="00B91C8F"/>
    <w:rsid w:val="00B92CD6"/>
    <w:rsid w:val="00B95818"/>
    <w:rsid w:val="00B978E4"/>
    <w:rsid w:val="00BA0621"/>
    <w:rsid w:val="00BA1138"/>
    <w:rsid w:val="00BB158F"/>
    <w:rsid w:val="00BB2590"/>
    <w:rsid w:val="00BB2885"/>
    <w:rsid w:val="00BB46C9"/>
    <w:rsid w:val="00BB64EF"/>
    <w:rsid w:val="00BB778A"/>
    <w:rsid w:val="00BB7CE2"/>
    <w:rsid w:val="00BC0900"/>
    <w:rsid w:val="00BC1447"/>
    <w:rsid w:val="00BC2880"/>
    <w:rsid w:val="00BC57B4"/>
    <w:rsid w:val="00BC62EB"/>
    <w:rsid w:val="00BC6B51"/>
    <w:rsid w:val="00BC6E4B"/>
    <w:rsid w:val="00BD01AB"/>
    <w:rsid w:val="00BD4460"/>
    <w:rsid w:val="00BD46AA"/>
    <w:rsid w:val="00BD5922"/>
    <w:rsid w:val="00BD7285"/>
    <w:rsid w:val="00BD77B9"/>
    <w:rsid w:val="00BE0CCB"/>
    <w:rsid w:val="00BE6399"/>
    <w:rsid w:val="00BF0922"/>
    <w:rsid w:val="00BF101F"/>
    <w:rsid w:val="00BF2009"/>
    <w:rsid w:val="00BF32EE"/>
    <w:rsid w:val="00BF3CAA"/>
    <w:rsid w:val="00BF4D09"/>
    <w:rsid w:val="00BF5640"/>
    <w:rsid w:val="00BF5B66"/>
    <w:rsid w:val="00C00089"/>
    <w:rsid w:val="00C001C6"/>
    <w:rsid w:val="00C02A76"/>
    <w:rsid w:val="00C047FD"/>
    <w:rsid w:val="00C04C25"/>
    <w:rsid w:val="00C070F5"/>
    <w:rsid w:val="00C12D9A"/>
    <w:rsid w:val="00C1753A"/>
    <w:rsid w:val="00C17C54"/>
    <w:rsid w:val="00C2074F"/>
    <w:rsid w:val="00C219FD"/>
    <w:rsid w:val="00C22EAF"/>
    <w:rsid w:val="00C23B49"/>
    <w:rsid w:val="00C250F9"/>
    <w:rsid w:val="00C300F3"/>
    <w:rsid w:val="00C3126C"/>
    <w:rsid w:val="00C329C2"/>
    <w:rsid w:val="00C340E3"/>
    <w:rsid w:val="00C41034"/>
    <w:rsid w:val="00C4115B"/>
    <w:rsid w:val="00C440AE"/>
    <w:rsid w:val="00C508FF"/>
    <w:rsid w:val="00C52730"/>
    <w:rsid w:val="00C53E36"/>
    <w:rsid w:val="00C57298"/>
    <w:rsid w:val="00C70A8C"/>
    <w:rsid w:val="00C73061"/>
    <w:rsid w:val="00C7412B"/>
    <w:rsid w:val="00C748BA"/>
    <w:rsid w:val="00C74961"/>
    <w:rsid w:val="00C819A2"/>
    <w:rsid w:val="00C8366F"/>
    <w:rsid w:val="00C83684"/>
    <w:rsid w:val="00C867C7"/>
    <w:rsid w:val="00C86CDA"/>
    <w:rsid w:val="00C92B45"/>
    <w:rsid w:val="00C92EBE"/>
    <w:rsid w:val="00C94EF8"/>
    <w:rsid w:val="00C94F79"/>
    <w:rsid w:val="00C95CD9"/>
    <w:rsid w:val="00C96174"/>
    <w:rsid w:val="00C96E1E"/>
    <w:rsid w:val="00C97594"/>
    <w:rsid w:val="00CA0C02"/>
    <w:rsid w:val="00CA0D2C"/>
    <w:rsid w:val="00CA263D"/>
    <w:rsid w:val="00CA379B"/>
    <w:rsid w:val="00CA4AF4"/>
    <w:rsid w:val="00CA4E4B"/>
    <w:rsid w:val="00CA5B82"/>
    <w:rsid w:val="00CA6DBD"/>
    <w:rsid w:val="00CB01E4"/>
    <w:rsid w:val="00CB0D49"/>
    <w:rsid w:val="00CB1C6B"/>
    <w:rsid w:val="00CB41FD"/>
    <w:rsid w:val="00CB4FB8"/>
    <w:rsid w:val="00CB5350"/>
    <w:rsid w:val="00CB541D"/>
    <w:rsid w:val="00CB6399"/>
    <w:rsid w:val="00CC0327"/>
    <w:rsid w:val="00CC1A5B"/>
    <w:rsid w:val="00CC6DF1"/>
    <w:rsid w:val="00CC70D7"/>
    <w:rsid w:val="00CD32F2"/>
    <w:rsid w:val="00CD3475"/>
    <w:rsid w:val="00CD7834"/>
    <w:rsid w:val="00CE28F7"/>
    <w:rsid w:val="00CE443E"/>
    <w:rsid w:val="00CE5F74"/>
    <w:rsid w:val="00CE661D"/>
    <w:rsid w:val="00CE66D0"/>
    <w:rsid w:val="00CE6EA4"/>
    <w:rsid w:val="00CF1D09"/>
    <w:rsid w:val="00CF23E8"/>
    <w:rsid w:val="00CF34F9"/>
    <w:rsid w:val="00CF4311"/>
    <w:rsid w:val="00CF4FCD"/>
    <w:rsid w:val="00D01244"/>
    <w:rsid w:val="00D036A6"/>
    <w:rsid w:val="00D06B0D"/>
    <w:rsid w:val="00D10E1E"/>
    <w:rsid w:val="00D11B6E"/>
    <w:rsid w:val="00D23A0C"/>
    <w:rsid w:val="00D32A3B"/>
    <w:rsid w:val="00D32C96"/>
    <w:rsid w:val="00D33E51"/>
    <w:rsid w:val="00D354AE"/>
    <w:rsid w:val="00D47B61"/>
    <w:rsid w:val="00D47E86"/>
    <w:rsid w:val="00D500CA"/>
    <w:rsid w:val="00D5129B"/>
    <w:rsid w:val="00D55095"/>
    <w:rsid w:val="00D57635"/>
    <w:rsid w:val="00D57BA2"/>
    <w:rsid w:val="00D6155B"/>
    <w:rsid w:val="00D65032"/>
    <w:rsid w:val="00D703DF"/>
    <w:rsid w:val="00D71847"/>
    <w:rsid w:val="00D7215B"/>
    <w:rsid w:val="00D725B0"/>
    <w:rsid w:val="00D72BFA"/>
    <w:rsid w:val="00D73E56"/>
    <w:rsid w:val="00D73F99"/>
    <w:rsid w:val="00D75923"/>
    <w:rsid w:val="00D77BE3"/>
    <w:rsid w:val="00D80ACB"/>
    <w:rsid w:val="00D832B8"/>
    <w:rsid w:val="00D86093"/>
    <w:rsid w:val="00D9057D"/>
    <w:rsid w:val="00D95D20"/>
    <w:rsid w:val="00D963E9"/>
    <w:rsid w:val="00DA0BA9"/>
    <w:rsid w:val="00DA0DC6"/>
    <w:rsid w:val="00DA1449"/>
    <w:rsid w:val="00DA46C1"/>
    <w:rsid w:val="00DB1B9E"/>
    <w:rsid w:val="00DB1E44"/>
    <w:rsid w:val="00DB34C0"/>
    <w:rsid w:val="00DB77FA"/>
    <w:rsid w:val="00DC12DA"/>
    <w:rsid w:val="00DC13AB"/>
    <w:rsid w:val="00DC1BF6"/>
    <w:rsid w:val="00DC1E8F"/>
    <w:rsid w:val="00DC75CD"/>
    <w:rsid w:val="00DD2C86"/>
    <w:rsid w:val="00DD45F9"/>
    <w:rsid w:val="00DD514B"/>
    <w:rsid w:val="00DD5713"/>
    <w:rsid w:val="00DD613E"/>
    <w:rsid w:val="00DD6396"/>
    <w:rsid w:val="00DE3854"/>
    <w:rsid w:val="00DE6C67"/>
    <w:rsid w:val="00DF1165"/>
    <w:rsid w:val="00DF62B8"/>
    <w:rsid w:val="00DF6E1E"/>
    <w:rsid w:val="00DF781D"/>
    <w:rsid w:val="00E02C8A"/>
    <w:rsid w:val="00E0770C"/>
    <w:rsid w:val="00E10A98"/>
    <w:rsid w:val="00E10B23"/>
    <w:rsid w:val="00E11185"/>
    <w:rsid w:val="00E1218F"/>
    <w:rsid w:val="00E13F67"/>
    <w:rsid w:val="00E147AD"/>
    <w:rsid w:val="00E220CB"/>
    <w:rsid w:val="00E23C3B"/>
    <w:rsid w:val="00E253BE"/>
    <w:rsid w:val="00E27A65"/>
    <w:rsid w:val="00E3100C"/>
    <w:rsid w:val="00E3127C"/>
    <w:rsid w:val="00E31CF7"/>
    <w:rsid w:val="00E32EF1"/>
    <w:rsid w:val="00E340AB"/>
    <w:rsid w:val="00E37EF4"/>
    <w:rsid w:val="00E40007"/>
    <w:rsid w:val="00E404FE"/>
    <w:rsid w:val="00E40DC0"/>
    <w:rsid w:val="00E44E7C"/>
    <w:rsid w:val="00E44F95"/>
    <w:rsid w:val="00E450D8"/>
    <w:rsid w:val="00E5038A"/>
    <w:rsid w:val="00E51187"/>
    <w:rsid w:val="00E54BA3"/>
    <w:rsid w:val="00E54E25"/>
    <w:rsid w:val="00E54FFF"/>
    <w:rsid w:val="00E56D16"/>
    <w:rsid w:val="00E60620"/>
    <w:rsid w:val="00E63CAA"/>
    <w:rsid w:val="00E651D7"/>
    <w:rsid w:val="00E65BDC"/>
    <w:rsid w:val="00E6734A"/>
    <w:rsid w:val="00E67E49"/>
    <w:rsid w:val="00E71A52"/>
    <w:rsid w:val="00E723F3"/>
    <w:rsid w:val="00E728F8"/>
    <w:rsid w:val="00E7393C"/>
    <w:rsid w:val="00E80052"/>
    <w:rsid w:val="00E907BD"/>
    <w:rsid w:val="00E94DAB"/>
    <w:rsid w:val="00E95A82"/>
    <w:rsid w:val="00E95B6A"/>
    <w:rsid w:val="00E9616D"/>
    <w:rsid w:val="00E97B12"/>
    <w:rsid w:val="00EA0B87"/>
    <w:rsid w:val="00EA170C"/>
    <w:rsid w:val="00EA50CE"/>
    <w:rsid w:val="00EA641C"/>
    <w:rsid w:val="00EA70EB"/>
    <w:rsid w:val="00EB71EA"/>
    <w:rsid w:val="00EC197C"/>
    <w:rsid w:val="00EC3215"/>
    <w:rsid w:val="00EC49C2"/>
    <w:rsid w:val="00EC4B5E"/>
    <w:rsid w:val="00EC5CD9"/>
    <w:rsid w:val="00EC632E"/>
    <w:rsid w:val="00EC6546"/>
    <w:rsid w:val="00EC674B"/>
    <w:rsid w:val="00EC68FB"/>
    <w:rsid w:val="00EC6D7C"/>
    <w:rsid w:val="00EC7113"/>
    <w:rsid w:val="00ED46A4"/>
    <w:rsid w:val="00ED5339"/>
    <w:rsid w:val="00EE1864"/>
    <w:rsid w:val="00EE3699"/>
    <w:rsid w:val="00EE607E"/>
    <w:rsid w:val="00EE73D9"/>
    <w:rsid w:val="00EF128F"/>
    <w:rsid w:val="00F0036B"/>
    <w:rsid w:val="00F0379D"/>
    <w:rsid w:val="00F06026"/>
    <w:rsid w:val="00F07DC7"/>
    <w:rsid w:val="00F10F5F"/>
    <w:rsid w:val="00F13B88"/>
    <w:rsid w:val="00F17367"/>
    <w:rsid w:val="00F175A4"/>
    <w:rsid w:val="00F17D99"/>
    <w:rsid w:val="00F20FA0"/>
    <w:rsid w:val="00F260A5"/>
    <w:rsid w:val="00F264D2"/>
    <w:rsid w:val="00F35172"/>
    <w:rsid w:val="00F35215"/>
    <w:rsid w:val="00F36D75"/>
    <w:rsid w:val="00F4071D"/>
    <w:rsid w:val="00F43904"/>
    <w:rsid w:val="00F45BBA"/>
    <w:rsid w:val="00F551A7"/>
    <w:rsid w:val="00F571E8"/>
    <w:rsid w:val="00F60850"/>
    <w:rsid w:val="00F63B64"/>
    <w:rsid w:val="00F64593"/>
    <w:rsid w:val="00F657F7"/>
    <w:rsid w:val="00F67A82"/>
    <w:rsid w:val="00F72008"/>
    <w:rsid w:val="00F739F2"/>
    <w:rsid w:val="00F80663"/>
    <w:rsid w:val="00F80A9D"/>
    <w:rsid w:val="00F81089"/>
    <w:rsid w:val="00F82478"/>
    <w:rsid w:val="00F8436D"/>
    <w:rsid w:val="00F847CD"/>
    <w:rsid w:val="00F84BFD"/>
    <w:rsid w:val="00F86119"/>
    <w:rsid w:val="00F8770D"/>
    <w:rsid w:val="00F92376"/>
    <w:rsid w:val="00F93118"/>
    <w:rsid w:val="00F9376A"/>
    <w:rsid w:val="00F93F2E"/>
    <w:rsid w:val="00F94395"/>
    <w:rsid w:val="00F9722A"/>
    <w:rsid w:val="00FA3A39"/>
    <w:rsid w:val="00FA626F"/>
    <w:rsid w:val="00FA6AB8"/>
    <w:rsid w:val="00FB0596"/>
    <w:rsid w:val="00FB4E7B"/>
    <w:rsid w:val="00FB77E2"/>
    <w:rsid w:val="00FC0596"/>
    <w:rsid w:val="00FC121B"/>
    <w:rsid w:val="00FC3CB6"/>
    <w:rsid w:val="00FC62C8"/>
    <w:rsid w:val="00FC7778"/>
    <w:rsid w:val="00FD6B6A"/>
    <w:rsid w:val="00FD7B03"/>
    <w:rsid w:val="00FE60B8"/>
    <w:rsid w:val="00FE663B"/>
    <w:rsid w:val="00FE673A"/>
    <w:rsid w:val="00FF01CF"/>
    <w:rsid w:val="00FF15DE"/>
    <w:rsid w:val="00FF1AEF"/>
    <w:rsid w:val="00FF1E60"/>
    <w:rsid w:val="00FF2372"/>
    <w:rsid w:val="00FF23B6"/>
    <w:rsid w:val="00FF36FD"/>
    <w:rsid w:val="00FF785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8AE9585"/>
  <w15:chartTrackingRefBased/>
  <w15:docId w15:val="{A11030B5-2040-41BB-BC5D-2EE4CAF66C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A6D1B"/>
    <w:pPr>
      <w:spacing w:after="160" w:line="259" w:lineRule="auto"/>
      <w:jc w:val="both"/>
    </w:pPr>
    <w:rPr>
      <w:sz w:val="22"/>
      <w:szCs w:val="22"/>
      <w:lang w:eastAsia="en-US"/>
    </w:rPr>
  </w:style>
  <w:style w:type="paragraph" w:styleId="Titolo1">
    <w:name w:val="heading 1"/>
    <w:basedOn w:val="Normale"/>
    <w:next w:val="Normale"/>
    <w:link w:val="Titolo1Carattere"/>
    <w:uiPriority w:val="9"/>
    <w:qFormat/>
    <w:rsid w:val="00E9616D"/>
    <w:pPr>
      <w:keepNext/>
      <w:keepLines/>
      <w:spacing w:before="240" w:after="0"/>
      <w:outlineLvl w:val="0"/>
    </w:pPr>
    <w:rPr>
      <w:rFonts w:ascii="Calibri Light" w:eastAsia="Times New Roman" w:hAnsi="Calibri Light"/>
      <w:color w:val="2F5496"/>
      <w:sz w:val="32"/>
      <w:szCs w:val="32"/>
    </w:rPr>
  </w:style>
  <w:style w:type="paragraph" w:styleId="Titolo2">
    <w:name w:val="heading 2"/>
    <w:basedOn w:val="Normale"/>
    <w:next w:val="Normale"/>
    <w:link w:val="Titolo2Carattere"/>
    <w:uiPriority w:val="9"/>
    <w:unhideWhenUsed/>
    <w:qFormat/>
    <w:rsid w:val="000419E4"/>
    <w:pPr>
      <w:keepNext/>
      <w:keepLines/>
      <w:numPr>
        <w:numId w:val="4"/>
      </w:numPr>
      <w:spacing w:before="480" w:after="240"/>
      <w:outlineLvl w:val="1"/>
    </w:pPr>
    <w:rPr>
      <w:rFonts w:ascii="Calibri Light" w:eastAsia="Times New Roman" w:hAnsi="Calibri Light"/>
      <w:color w:val="2F5496"/>
      <w:sz w:val="26"/>
      <w:szCs w:val="26"/>
    </w:rPr>
  </w:style>
  <w:style w:type="paragraph" w:styleId="Titolo3">
    <w:name w:val="heading 3"/>
    <w:basedOn w:val="Normale"/>
    <w:next w:val="Normale"/>
    <w:link w:val="Titolo3Carattere"/>
    <w:uiPriority w:val="9"/>
    <w:unhideWhenUsed/>
    <w:qFormat/>
    <w:rsid w:val="003331D2"/>
    <w:pPr>
      <w:keepNext/>
      <w:keepLines/>
      <w:numPr>
        <w:ilvl w:val="1"/>
        <w:numId w:val="4"/>
      </w:numPr>
      <w:spacing w:before="240" w:after="120"/>
      <w:ind w:left="431" w:hanging="431"/>
      <w:outlineLvl w:val="2"/>
    </w:pPr>
    <w:rPr>
      <w:rFonts w:asciiTheme="majorHAnsi" w:eastAsiaTheme="majorEastAsia" w:hAnsiTheme="majorHAnsi" w:cstheme="majorBidi"/>
      <w:color w:val="1F3763" w:themeColor="accent1" w:themeShade="7F"/>
      <w:sz w:val="24"/>
      <w:szCs w:val="24"/>
    </w:rPr>
  </w:style>
  <w:style w:type="paragraph" w:styleId="Titolo4">
    <w:name w:val="heading 4"/>
    <w:basedOn w:val="Normale"/>
    <w:next w:val="Normale"/>
    <w:link w:val="Titolo4Carattere"/>
    <w:uiPriority w:val="9"/>
    <w:unhideWhenUsed/>
    <w:qFormat/>
    <w:rsid w:val="001739A1"/>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
    <w:uiPriority w:val="9"/>
    <w:unhideWhenUsed/>
    <w:qFormat/>
    <w:rsid w:val="007C56DA"/>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rsid w:val="00E9616D"/>
    <w:rPr>
      <w:rFonts w:ascii="Calibri Light" w:eastAsia="Times New Roman" w:hAnsi="Calibri Light" w:cs="Times New Roman"/>
      <w:color w:val="2F5496"/>
      <w:sz w:val="32"/>
      <w:szCs w:val="32"/>
    </w:rPr>
  </w:style>
  <w:style w:type="paragraph" w:styleId="Titolo">
    <w:name w:val="Title"/>
    <w:basedOn w:val="Normale"/>
    <w:next w:val="Normale"/>
    <w:link w:val="TitoloCarattere"/>
    <w:uiPriority w:val="10"/>
    <w:qFormat/>
    <w:rsid w:val="00C94EF8"/>
    <w:pPr>
      <w:spacing w:after="0" w:line="240" w:lineRule="auto"/>
      <w:contextualSpacing/>
    </w:pPr>
    <w:rPr>
      <w:rFonts w:ascii="Calibri Light" w:eastAsia="Times New Roman" w:hAnsi="Calibri Light"/>
      <w:spacing w:val="-10"/>
      <w:kern w:val="28"/>
      <w:sz w:val="56"/>
      <w:szCs w:val="56"/>
    </w:rPr>
  </w:style>
  <w:style w:type="character" w:customStyle="1" w:styleId="TitoloCarattere">
    <w:name w:val="Titolo Carattere"/>
    <w:link w:val="Titolo"/>
    <w:uiPriority w:val="10"/>
    <w:rsid w:val="00C94EF8"/>
    <w:rPr>
      <w:rFonts w:ascii="Calibri Light" w:eastAsia="Times New Roman" w:hAnsi="Calibri Light" w:cs="Times New Roman"/>
      <w:spacing w:val="-10"/>
      <w:kern w:val="28"/>
      <w:sz w:val="56"/>
      <w:szCs w:val="56"/>
    </w:rPr>
  </w:style>
  <w:style w:type="character" w:customStyle="1" w:styleId="Titolo2Carattere">
    <w:name w:val="Titolo 2 Carattere"/>
    <w:link w:val="Titolo2"/>
    <w:uiPriority w:val="9"/>
    <w:rsid w:val="000419E4"/>
    <w:rPr>
      <w:rFonts w:ascii="Calibri Light" w:eastAsia="Times New Roman" w:hAnsi="Calibri Light"/>
      <w:color w:val="2F5496"/>
      <w:sz w:val="26"/>
      <w:szCs w:val="26"/>
      <w:lang w:eastAsia="en-US"/>
    </w:rPr>
  </w:style>
  <w:style w:type="paragraph" w:styleId="Paragrafoelenco">
    <w:name w:val="List Paragraph"/>
    <w:basedOn w:val="Normale"/>
    <w:uiPriority w:val="34"/>
    <w:qFormat/>
    <w:rsid w:val="00C94EF8"/>
    <w:pPr>
      <w:ind w:left="720"/>
      <w:contextualSpacing/>
    </w:pPr>
  </w:style>
  <w:style w:type="character" w:styleId="Enfasigrassetto">
    <w:name w:val="Strong"/>
    <w:uiPriority w:val="22"/>
    <w:qFormat/>
    <w:rsid w:val="00650D31"/>
    <w:rPr>
      <w:b/>
      <w:bCs/>
    </w:rPr>
  </w:style>
  <w:style w:type="paragraph" w:styleId="Testonotaapidipagina">
    <w:name w:val="footnote text"/>
    <w:basedOn w:val="Normale"/>
    <w:link w:val="TestonotaapidipaginaCarattere"/>
    <w:uiPriority w:val="99"/>
    <w:semiHidden/>
    <w:unhideWhenUsed/>
    <w:rsid w:val="00650D31"/>
    <w:rPr>
      <w:sz w:val="20"/>
      <w:szCs w:val="20"/>
    </w:rPr>
  </w:style>
  <w:style w:type="character" w:customStyle="1" w:styleId="TestonotaapidipaginaCarattere">
    <w:name w:val="Testo nota a piè di pagina Carattere"/>
    <w:basedOn w:val="Carpredefinitoparagrafo"/>
    <w:link w:val="Testonotaapidipagina"/>
    <w:uiPriority w:val="99"/>
    <w:semiHidden/>
    <w:rsid w:val="00650D31"/>
    <w:rPr>
      <w:lang w:eastAsia="en-US"/>
    </w:rPr>
  </w:style>
  <w:style w:type="character" w:styleId="Rimandonotaapidipagina">
    <w:name w:val="footnote reference"/>
    <w:basedOn w:val="Carpredefinitoparagrafo"/>
    <w:uiPriority w:val="99"/>
    <w:semiHidden/>
    <w:unhideWhenUsed/>
    <w:rsid w:val="00650D31"/>
    <w:rPr>
      <w:vertAlign w:val="superscript"/>
    </w:rPr>
  </w:style>
  <w:style w:type="table" w:styleId="Grigliatabella">
    <w:name w:val="Table Grid"/>
    <w:basedOn w:val="Tabellanormale"/>
    <w:uiPriority w:val="39"/>
    <w:rsid w:val="00E220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essunaspaziatura">
    <w:name w:val="No Spacing"/>
    <w:aliases w:val="Tabella"/>
    <w:uiPriority w:val="1"/>
    <w:qFormat/>
    <w:rsid w:val="00E220CB"/>
    <w:pPr>
      <w:jc w:val="both"/>
    </w:pPr>
    <w:rPr>
      <w:sz w:val="22"/>
      <w:szCs w:val="22"/>
      <w:lang w:eastAsia="en-US"/>
    </w:rPr>
  </w:style>
  <w:style w:type="character" w:customStyle="1" w:styleId="Titolo3Carattere">
    <w:name w:val="Titolo 3 Carattere"/>
    <w:basedOn w:val="Carpredefinitoparagrafo"/>
    <w:link w:val="Titolo3"/>
    <w:uiPriority w:val="9"/>
    <w:rsid w:val="003331D2"/>
    <w:rPr>
      <w:rFonts w:asciiTheme="majorHAnsi" w:eastAsiaTheme="majorEastAsia" w:hAnsiTheme="majorHAnsi" w:cstheme="majorBidi"/>
      <w:color w:val="1F3763" w:themeColor="accent1" w:themeShade="7F"/>
      <w:sz w:val="24"/>
      <w:szCs w:val="24"/>
      <w:lang w:eastAsia="en-US"/>
    </w:rPr>
  </w:style>
  <w:style w:type="character" w:customStyle="1" w:styleId="Titolo4Carattere">
    <w:name w:val="Titolo 4 Carattere"/>
    <w:basedOn w:val="Carpredefinitoparagrafo"/>
    <w:link w:val="Titolo4"/>
    <w:uiPriority w:val="9"/>
    <w:rsid w:val="001739A1"/>
    <w:rPr>
      <w:rFonts w:asciiTheme="majorHAnsi" w:eastAsiaTheme="majorEastAsia" w:hAnsiTheme="majorHAnsi" w:cstheme="majorBidi"/>
      <w:i/>
      <w:iCs/>
      <w:color w:val="2F5496" w:themeColor="accent1" w:themeShade="BF"/>
      <w:sz w:val="22"/>
      <w:szCs w:val="22"/>
      <w:lang w:eastAsia="en-US"/>
    </w:rPr>
  </w:style>
  <w:style w:type="paragraph" w:customStyle="1" w:styleId="Finefiguraetabella">
    <w:name w:val="Fine figura e tabella"/>
    <w:basedOn w:val="Normale"/>
    <w:link w:val="FinefiguraetabellaCarattere"/>
    <w:autoRedefine/>
    <w:qFormat/>
    <w:rsid w:val="00867E3F"/>
    <w:pPr>
      <w:pBdr>
        <w:bottom w:val="single" w:sz="4" w:space="1" w:color="auto"/>
      </w:pBdr>
      <w:spacing w:before="120" w:after="360" w:line="240" w:lineRule="auto"/>
    </w:pPr>
    <w:rPr>
      <w:rFonts w:eastAsia="Times New Roman"/>
      <w:sz w:val="20"/>
      <w:szCs w:val="20"/>
      <w:lang w:val="en-US"/>
    </w:rPr>
  </w:style>
  <w:style w:type="character" w:customStyle="1" w:styleId="FinefiguraetabellaCarattere">
    <w:name w:val="Fine figura e tabella Carattere"/>
    <w:basedOn w:val="Carpredefinitoparagrafo"/>
    <w:link w:val="Finefiguraetabella"/>
    <w:rsid w:val="00867E3F"/>
    <w:rPr>
      <w:rFonts w:eastAsia="Times New Roman"/>
      <w:lang w:val="en-US" w:eastAsia="en-US"/>
    </w:rPr>
  </w:style>
  <w:style w:type="paragraph" w:customStyle="1" w:styleId="Testotabella">
    <w:name w:val="Testo tabella"/>
    <w:basedOn w:val="Nessunaspaziatura"/>
    <w:link w:val="TestotabellaCarattere"/>
    <w:qFormat/>
    <w:rsid w:val="000E0545"/>
    <w:rPr>
      <w:rFonts w:ascii="Arial Narrow" w:hAnsi="Arial Narrow"/>
      <w:sz w:val="18"/>
      <w:szCs w:val="18"/>
    </w:rPr>
  </w:style>
  <w:style w:type="character" w:customStyle="1" w:styleId="TestotabellaCarattere">
    <w:name w:val="Testo tabella Carattere"/>
    <w:basedOn w:val="Carpredefinitoparagrafo"/>
    <w:link w:val="Testotabella"/>
    <w:qFormat/>
    <w:rsid w:val="000E0545"/>
    <w:rPr>
      <w:rFonts w:ascii="Arial Narrow" w:hAnsi="Arial Narrow"/>
      <w:sz w:val="18"/>
      <w:szCs w:val="18"/>
      <w:lang w:eastAsia="en-US"/>
    </w:rPr>
  </w:style>
  <w:style w:type="paragraph" w:customStyle="1" w:styleId="Titolofigureetabelle">
    <w:name w:val="Titolo figure e tabelle"/>
    <w:basedOn w:val="Normale"/>
    <w:link w:val="TitolofigureetabelleCarattere"/>
    <w:autoRedefine/>
    <w:qFormat/>
    <w:rsid w:val="00867E3F"/>
    <w:pPr>
      <w:keepNext/>
      <w:pBdr>
        <w:top w:val="single" w:sz="4" w:space="1" w:color="auto"/>
      </w:pBdr>
      <w:spacing w:before="360" w:after="120" w:line="240" w:lineRule="auto"/>
    </w:pPr>
    <w:rPr>
      <w:rFonts w:eastAsia="Times New Roman" w:cs="Calibri"/>
      <w:sz w:val="20"/>
      <w:szCs w:val="20"/>
    </w:rPr>
  </w:style>
  <w:style w:type="character" w:customStyle="1" w:styleId="TitolofigureetabelleCarattere">
    <w:name w:val="Titolo figure e tabelle Carattere"/>
    <w:basedOn w:val="Carpredefinitoparagrafo"/>
    <w:link w:val="Titolofigureetabelle"/>
    <w:rsid w:val="00867E3F"/>
    <w:rPr>
      <w:rFonts w:eastAsia="Times New Roman" w:cs="Calibri"/>
      <w:lang w:eastAsia="en-US"/>
    </w:rPr>
  </w:style>
  <w:style w:type="character" w:styleId="Collegamentoipertestuale">
    <w:name w:val="Hyperlink"/>
    <w:basedOn w:val="Carpredefinitoparagrafo"/>
    <w:uiPriority w:val="99"/>
    <w:unhideWhenUsed/>
    <w:rsid w:val="00087265"/>
    <w:rPr>
      <w:color w:val="0000FF"/>
      <w:u w:val="single"/>
    </w:rPr>
  </w:style>
  <w:style w:type="character" w:customStyle="1" w:styleId="title-text">
    <w:name w:val="title-text"/>
    <w:basedOn w:val="Carpredefinitoparagrafo"/>
    <w:rsid w:val="00FC121B"/>
  </w:style>
  <w:style w:type="character" w:customStyle="1" w:styleId="anchor-text">
    <w:name w:val="anchor-text"/>
    <w:basedOn w:val="Carpredefinitoparagrafo"/>
    <w:rsid w:val="00FC121B"/>
  </w:style>
  <w:style w:type="paragraph" w:customStyle="1" w:styleId="PARAGRAFOBIBLIOGRAF">
    <w:name w:val="PARAGRAFO BIBLIOGRAF"/>
    <w:rsid w:val="00302290"/>
    <w:pPr>
      <w:keepLines/>
      <w:widowControl w:val="0"/>
      <w:ind w:left="284" w:hanging="284"/>
      <w:jc w:val="both"/>
    </w:pPr>
    <w:rPr>
      <w:rFonts w:ascii="Times" w:eastAsia="Times New Roman" w:hAnsi="Times"/>
      <w:sz w:val="24"/>
    </w:rPr>
  </w:style>
  <w:style w:type="character" w:styleId="Menzionenonrisolta">
    <w:name w:val="Unresolved Mention"/>
    <w:basedOn w:val="Carpredefinitoparagrafo"/>
    <w:uiPriority w:val="99"/>
    <w:semiHidden/>
    <w:unhideWhenUsed/>
    <w:rsid w:val="00495206"/>
    <w:rPr>
      <w:color w:val="605E5C"/>
      <w:shd w:val="clear" w:color="auto" w:fill="E1DFDD"/>
    </w:rPr>
  </w:style>
  <w:style w:type="character" w:styleId="Enfasicorsivo">
    <w:name w:val="Emphasis"/>
    <w:basedOn w:val="Carpredefinitoparagrafo"/>
    <w:uiPriority w:val="20"/>
    <w:qFormat/>
    <w:rsid w:val="006363C0"/>
    <w:rPr>
      <w:i/>
      <w:iCs/>
    </w:rPr>
  </w:style>
  <w:style w:type="character" w:customStyle="1" w:styleId="fontstyle01">
    <w:name w:val="fontstyle01"/>
    <w:basedOn w:val="Carpredefinitoparagrafo"/>
    <w:rsid w:val="005E772C"/>
    <w:rPr>
      <w:rFonts w:ascii="Times-Roman" w:hAnsi="Times-Roman" w:hint="default"/>
      <w:b w:val="0"/>
      <w:bCs w:val="0"/>
      <w:i w:val="0"/>
      <w:iCs w:val="0"/>
      <w:color w:val="000000"/>
      <w:sz w:val="24"/>
      <w:szCs w:val="24"/>
    </w:rPr>
  </w:style>
  <w:style w:type="character" w:customStyle="1" w:styleId="Titolo5Carattere">
    <w:name w:val="Titolo 5 Carattere"/>
    <w:basedOn w:val="Carpredefinitoparagrafo"/>
    <w:link w:val="Titolo5"/>
    <w:uiPriority w:val="9"/>
    <w:rsid w:val="007C56DA"/>
    <w:rPr>
      <w:rFonts w:asciiTheme="majorHAnsi" w:eastAsiaTheme="majorEastAsia" w:hAnsiTheme="majorHAnsi" w:cstheme="majorBidi"/>
      <w:color w:val="2F5496" w:themeColor="accent1" w:themeShade="BF"/>
      <w:sz w:val="22"/>
      <w:szCs w:val="22"/>
      <w:lang w:eastAsia="en-US"/>
    </w:rPr>
  </w:style>
  <w:style w:type="character" w:customStyle="1" w:styleId="ts-alignment-element">
    <w:name w:val="ts-alignment-element"/>
    <w:basedOn w:val="Carpredefinitoparagrafo"/>
    <w:rsid w:val="007C56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293480">
      <w:bodyDiv w:val="1"/>
      <w:marLeft w:val="0"/>
      <w:marRight w:val="0"/>
      <w:marTop w:val="0"/>
      <w:marBottom w:val="0"/>
      <w:divBdr>
        <w:top w:val="none" w:sz="0" w:space="0" w:color="auto"/>
        <w:left w:val="none" w:sz="0" w:space="0" w:color="auto"/>
        <w:bottom w:val="none" w:sz="0" w:space="0" w:color="auto"/>
        <w:right w:val="none" w:sz="0" w:space="0" w:color="auto"/>
      </w:divBdr>
    </w:div>
    <w:div w:id="85461523">
      <w:bodyDiv w:val="1"/>
      <w:marLeft w:val="0"/>
      <w:marRight w:val="0"/>
      <w:marTop w:val="0"/>
      <w:marBottom w:val="0"/>
      <w:divBdr>
        <w:top w:val="none" w:sz="0" w:space="0" w:color="auto"/>
        <w:left w:val="none" w:sz="0" w:space="0" w:color="auto"/>
        <w:bottom w:val="none" w:sz="0" w:space="0" w:color="auto"/>
        <w:right w:val="none" w:sz="0" w:space="0" w:color="auto"/>
      </w:divBdr>
    </w:div>
    <w:div w:id="130176493">
      <w:bodyDiv w:val="1"/>
      <w:marLeft w:val="0"/>
      <w:marRight w:val="0"/>
      <w:marTop w:val="0"/>
      <w:marBottom w:val="0"/>
      <w:divBdr>
        <w:top w:val="none" w:sz="0" w:space="0" w:color="auto"/>
        <w:left w:val="none" w:sz="0" w:space="0" w:color="auto"/>
        <w:bottom w:val="none" w:sz="0" w:space="0" w:color="auto"/>
        <w:right w:val="none" w:sz="0" w:space="0" w:color="auto"/>
      </w:divBdr>
    </w:div>
    <w:div w:id="345837700">
      <w:bodyDiv w:val="1"/>
      <w:marLeft w:val="0"/>
      <w:marRight w:val="0"/>
      <w:marTop w:val="0"/>
      <w:marBottom w:val="0"/>
      <w:divBdr>
        <w:top w:val="none" w:sz="0" w:space="0" w:color="auto"/>
        <w:left w:val="none" w:sz="0" w:space="0" w:color="auto"/>
        <w:bottom w:val="none" w:sz="0" w:space="0" w:color="auto"/>
        <w:right w:val="none" w:sz="0" w:space="0" w:color="auto"/>
      </w:divBdr>
    </w:div>
    <w:div w:id="630332718">
      <w:bodyDiv w:val="1"/>
      <w:marLeft w:val="0"/>
      <w:marRight w:val="0"/>
      <w:marTop w:val="0"/>
      <w:marBottom w:val="0"/>
      <w:divBdr>
        <w:top w:val="none" w:sz="0" w:space="0" w:color="auto"/>
        <w:left w:val="none" w:sz="0" w:space="0" w:color="auto"/>
        <w:bottom w:val="none" w:sz="0" w:space="0" w:color="auto"/>
        <w:right w:val="none" w:sz="0" w:space="0" w:color="auto"/>
      </w:divBdr>
    </w:div>
    <w:div w:id="671103908">
      <w:bodyDiv w:val="1"/>
      <w:marLeft w:val="0"/>
      <w:marRight w:val="0"/>
      <w:marTop w:val="0"/>
      <w:marBottom w:val="0"/>
      <w:divBdr>
        <w:top w:val="none" w:sz="0" w:space="0" w:color="auto"/>
        <w:left w:val="none" w:sz="0" w:space="0" w:color="auto"/>
        <w:bottom w:val="none" w:sz="0" w:space="0" w:color="auto"/>
        <w:right w:val="none" w:sz="0" w:space="0" w:color="auto"/>
      </w:divBdr>
    </w:div>
    <w:div w:id="777220708">
      <w:bodyDiv w:val="1"/>
      <w:marLeft w:val="0"/>
      <w:marRight w:val="0"/>
      <w:marTop w:val="0"/>
      <w:marBottom w:val="0"/>
      <w:divBdr>
        <w:top w:val="none" w:sz="0" w:space="0" w:color="auto"/>
        <w:left w:val="none" w:sz="0" w:space="0" w:color="auto"/>
        <w:bottom w:val="none" w:sz="0" w:space="0" w:color="auto"/>
        <w:right w:val="none" w:sz="0" w:space="0" w:color="auto"/>
      </w:divBdr>
    </w:div>
    <w:div w:id="784235686">
      <w:bodyDiv w:val="1"/>
      <w:marLeft w:val="0"/>
      <w:marRight w:val="0"/>
      <w:marTop w:val="0"/>
      <w:marBottom w:val="0"/>
      <w:divBdr>
        <w:top w:val="none" w:sz="0" w:space="0" w:color="auto"/>
        <w:left w:val="none" w:sz="0" w:space="0" w:color="auto"/>
        <w:bottom w:val="none" w:sz="0" w:space="0" w:color="auto"/>
        <w:right w:val="none" w:sz="0" w:space="0" w:color="auto"/>
      </w:divBdr>
    </w:div>
    <w:div w:id="840435654">
      <w:bodyDiv w:val="1"/>
      <w:marLeft w:val="0"/>
      <w:marRight w:val="0"/>
      <w:marTop w:val="0"/>
      <w:marBottom w:val="0"/>
      <w:divBdr>
        <w:top w:val="none" w:sz="0" w:space="0" w:color="auto"/>
        <w:left w:val="none" w:sz="0" w:space="0" w:color="auto"/>
        <w:bottom w:val="none" w:sz="0" w:space="0" w:color="auto"/>
        <w:right w:val="none" w:sz="0" w:space="0" w:color="auto"/>
      </w:divBdr>
    </w:div>
    <w:div w:id="1186332980">
      <w:bodyDiv w:val="1"/>
      <w:marLeft w:val="0"/>
      <w:marRight w:val="0"/>
      <w:marTop w:val="0"/>
      <w:marBottom w:val="0"/>
      <w:divBdr>
        <w:top w:val="none" w:sz="0" w:space="0" w:color="auto"/>
        <w:left w:val="none" w:sz="0" w:space="0" w:color="auto"/>
        <w:bottom w:val="none" w:sz="0" w:space="0" w:color="auto"/>
        <w:right w:val="none" w:sz="0" w:space="0" w:color="auto"/>
      </w:divBdr>
    </w:div>
    <w:div w:id="1547909184">
      <w:bodyDiv w:val="1"/>
      <w:marLeft w:val="0"/>
      <w:marRight w:val="0"/>
      <w:marTop w:val="0"/>
      <w:marBottom w:val="0"/>
      <w:divBdr>
        <w:top w:val="none" w:sz="0" w:space="0" w:color="auto"/>
        <w:left w:val="none" w:sz="0" w:space="0" w:color="auto"/>
        <w:bottom w:val="none" w:sz="0" w:space="0" w:color="auto"/>
        <w:right w:val="none" w:sz="0" w:space="0" w:color="auto"/>
      </w:divBdr>
    </w:div>
    <w:div w:id="1799760886">
      <w:bodyDiv w:val="1"/>
      <w:marLeft w:val="0"/>
      <w:marRight w:val="0"/>
      <w:marTop w:val="0"/>
      <w:marBottom w:val="0"/>
      <w:divBdr>
        <w:top w:val="none" w:sz="0" w:space="0" w:color="auto"/>
        <w:left w:val="none" w:sz="0" w:space="0" w:color="auto"/>
        <w:bottom w:val="none" w:sz="0" w:space="0" w:color="auto"/>
        <w:right w:val="none" w:sz="0" w:space="0" w:color="auto"/>
      </w:divBdr>
      <w:divsChild>
        <w:div w:id="143665955">
          <w:marLeft w:val="1166"/>
          <w:marRight w:val="0"/>
          <w:marTop w:val="82"/>
          <w:marBottom w:val="0"/>
          <w:divBdr>
            <w:top w:val="none" w:sz="0" w:space="0" w:color="auto"/>
            <w:left w:val="none" w:sz="0" w:space="0" w:color="auto"/>
            <w:bottom w:val="none" w:sz="0" w:space="0" w:color="auto"/>
            <w:right w:val="none" w:sz="0" w:space="0" w:color="auto"/>
          </w:divBdr>
        </w:div>
        <w:div w:id="556209657">
          <w:marLeft w:val="1166"/>
          <w:marRight w:val="0"/>
          <w:marTop w:val="82"/>
          <w:marBottom w:val="0"/>
          <w:divBdr>
            <w:top w:val="none" w:sz="0" w:space="0" w:color="auto"/>
            <w:left w:val="none" w:sz="0" w:space="0" w:color="auto"/>
            <w:bottom w:val="none" w:sz="0" w:space="0" w:color="auto"/>
            <w:right w:val="none" w:sz="0" w:space="0" w:color="auto"/>
          </w:divBdr>
        </w:div>
        <w:div w:id="1169489938">
          <w:marLeft w:val="1166"/>
          <w:marRight w:val="0"/>
          <w:marTop w:val="82"/>
          <w:marBottom w:val="0"/>
          <w:divBdr>
            <w:top w:val="none" w:sz="0" w:space="0" w:color="auto"/>
            <w:left w:val="none" w:sz="0" w:space="0" w:color="auto"/>
            <w:bottom w:val="none" w:sz="0" w:space="0" w:color="auto"/>
            <w:right w:val="none" w:sz="0" w:space="0" w:color="auto"/>
          </w:divBdr>
        </w:div>
        <w:div w:id="1443917541">
          <w:marLeft w:val="1166"/>
          <w:marRight w:val="0"/>
          <w:marTop w:val="82"/>
          <w:marBottom w:val="0"/>
          <w:divBdr>
            <w:top w:val="none" w:sz="0" w:space="0" w:color="auto"/>
            <w:left w:val="none" w:sz="0" w:space="0" w:color="auto"/>
            <w:bottom w:val="none" w:sz="0" w:space="0" w:color="auto"/>
            <w:right w:val="none" w:sz="0" w:space="0" w:color="auto"/>
          </w:divBdr>
        </w:div>
        <w:div w:id="1466699765">
          <w:marLeft w:val="1166"/>
          <w:marRight w:val="0"/>
          <w:marTop w:val="82"/>
          <w:marBottom w:val="0"/>
          <w:divBdr>
            <w:top w:val="none" w:sz="0" w:space="0" w:color="auto"/>
            <w:left w:val="none" w:sz="0" w:space="0" w:color="auto"/>
            <w:bottom w:val="none" w:sz="0" w:space="0" w:color="auto"/>
            <w:right w:val="none" w:sz="0" w:space="0" w:color="auto"/>
          </w:divBdr>
        </w:div>
        <w:div w:id="1857888098">
          <w:marLeft w:val="1166"/>
          <w:marRight w:val="0"/>
          <w:marTop w:val="82"/>
          <w:marBottom w:val="0"/>
          <w:divBdr>
            <w:top w:val="none" w:sz="0" w:space="0" w:color="auto"/>
            <w:left w:val="none" w:sz="0" w:space="0" w:color="auto"/>
            <w:bottom w:val="none" w:sz="0" w:space="0" w:color="auto"/>
            <w:right w:val="none" w:sz="0" w:space="0" w:color="auto"/>
          </w:divBdr>
        </w:div>
      </w:divsChild>
    </w:div>
    <w:div w:id="1805345127">
      <w:bodyDiv w:val="1"/>
      <w:marLeft w:val="0"/>
      <w:marRight w:val="0"/>
      <w:marTop w:val="0"/>
      <w:marBottom w:val="0"/>
      <w:divBdr>
        <w:top w:val="none" w:sz="0" w:space="0" w:color="auto"/>
        <w:left w:val="none" w:sz="0" w:space="0" w:color="auto"/>
        <w:bottom w:val="none" w:sz="0" w:space="0" w:color="auto"/>
        <w:right w:val="none" w:sz="0" w:space="0" w:color="auto"/>
      </w:divBdr>
      <w:divsChild>
        <w:div w:id="1939485682">
          <w:marLeft w:val="0"/>
          <w:marRight w:val="0"/>
          <w:marTop w:val="0"/>
          <w:marBottom w:val="0"/>
          <w:divBdr>
            <w:top w:val="none" w:sz="0" w:space="0" w:color="auto"/>
            <w:left w:val="none" w:sz="0" w:space="0" w:color="auto"/>
            <w:bottom w:val="none" w:sz="0" w:space="0" w:color="auto"/>
            <w:right w:val="none" w:sz="0" w:space="0" w:color="auto"/>
          </w:divBdr>
          <w:divsChild>
            <w:div w:id="1240289125">
              <w:marLeft w:val="0"/>
              <w:marRight w:val="0"/>
              <w:marTop w:val="0"/>
              <w:marBottom w:val="0"/>
              <w:divBdr>
                <w:top w:val="none" w:sz="0" w:space="0" w:color="auto"/>
                <w:left w:val="none" w:sz="0" w:space="0" w:color="auto"/>
                <w:bottom w:val="none" w:sz="0" w:space="0" w:color="auto"/>
                <w:right w:val="none" w:sz="0" w:space="0" w:color="auto"/>
              </w:divBdr>
              <w:divsChild>
                <w:div w:id="1524129724">
                  <w:marLeft w:val="0"/>
                  <w:marRight w:val="0"/>
                  <w:marTop w:val="0"/>
                  <w:marBottom w:val="0"/>
                  <w:divBdr>
                    <w:top w:val="none" w:sz="0" w:space="0" w:color="auto"/>
                    <w:left w:val="none" w:sz="0" w:space="0" w:color="auto"/>
                    <w:bottom w:val="none" w:sz="0" w:space="0" w:color="auto"/>
                    <w:right w:val="none" w:sz="0" w:space="0" w:color="auto"/>
                  </w:divBdr>
                  <w:divsChild>
                    <w:div w:id="363871475">
                      <w:marLeft w:val="0"/>
                      <w:marRight w:val="0"/>
                      <w:marTop w:val="0"/>
                      <w:marBottom w:val="0"/>
                      <w:divBdr>
                        <w:top w:val="none" w:sz="0" w:space="0" w:color="auto"/>
                        <w:left w:val="none" w:sz="0" w:space="0" w:color="auto"/>
                        <w:bottom w:val="none" w:sz="0" w:space="0" w:color="auto"/>
                        <w:right w:val="none" w:sz="0" w:space="0" w:color="auto"/>
                      </w:divBdr>
                      <w:divsChild>
                        <w:div w:id="871308881">
                          <w:marLeft w:val="0"/>
                          <w:marRight w:val="0"/>
                          <w:marTop w:val="0"/>
                          <w:marBottom w:val="0"/>
                          <w:divBdr>
                            <w:top w:val="none" w:sz="0" w:space="0" w:color="auto"/>
                            <w:left w:val="none" w:sz="0" w:space="0" w:color="auto"/>
                            <w:bottom w:val="none" w:sz="0" w:space="0" w:color="auto"/>
                            <w:right w:val="none" w:sz="0" w:space="0" w:color="auto"/>
                          </w:divBdr>
                          <w:divsChild>
                            <w:div w:id="1516379553">
                              <w:marLeft w:val="0"/>
                              <w:marRight w:val="0"/>
                              <w:marTop w:val="0"/>
                              <w:marBottom w:val="0"/>
                              <w:divBdr>
                                <w:top w:val="none" w:sz="0" w:space="0" w:color="auto"/>
                                <w:left w:val="none" w:sz="0" w:space="0" w:color="auto"/>
                                <w:bottom w:val="none" w:sz="0" w:space="0" w:color="auto"/>
                                <w:right w:val="none" w:sz="0" w:space="0" w:color="auto"/>
                              </w:divBdr>
                              <w:divsChild>
                                <w:div w:id="502279303">
                                  <w:marLeft w:val="0"/>
                                  <w:marRight w:val="0"/>
                                  <w:marTop w:val="0"/>
                                  <w:marBottom w:val="0"/>
                                  <w:divBdr>
                                    <w:top w:val="none" w:sz="0" w:space="0" w:color="auto"/>
                                    <w:left w:val="none" w:sz="0" w:space="0" w:color="auto"/>
                                    <w:bottom w:val="none" w:sz="0" w:space="0" w:color="auto"/>
                                    <w:right w:val="none" w:sz="0" w:space="0" w:color="auto"/>
                                  </w:divBdr>
                                  <w:divsChild>
                                    <w:div w:id="518273155">
                                      <w:marLeft w:val="0"/>
                                      <w:marRight w:val="0"/>
                                      <w:marTop w:val="0"/>
                                      <w:marBottom w:val="0"/>
                                      <w:divBdr>
                                        <w:top w:val="none" w:sz="0" w:space="0" w:color="auto"/>
                                        <w:left w:val="none" w:sz="0" w:space="0" w:color="auto"/>
                                        <w:bottom w:val="none" w:sz="0" w:space="0" w:color="auto"/>
                                        <w:right w:val="none" w:sz="0" w:space="0" w:color="auto"/>
                                      </w:divBdr>
                                      <w:divsChild>
                                        <w:div w:id="2084448276">
                                          <w:marLeft w:val="0"/>
                                          <w:marRight w:val="0"/>
                                          <w:marTop w:val="0"/>
                                          <w:marBottom w:val="0"/>
                                          <w:divBdr>
                                            <w:top w:val="none" w:sz="0" w:space="0" w:color="auto"/>
                                            <w:left w:val="none" w:sz="0" w:space="0" w:color="auto"/>
                                            <w:bottom w:val="none" w:sz="0" w:space="0" w:color="auto"/>
                                            <w:right w:val="none" w:sz="0" w:space="0" w:color="auto"/>
                                          </w:divBdr>
                                          <w:divsChild>
                                            <w:div w:id="885600129">
                                              <w:marLeft w:val="0"/>
                                              <w:marRight w:val="0"/>
                                              <w:marTop w:val="0"/>
                                              <w:marBottom w:val="0"/>
                                              <w:divBdr>
                                                <w:top w:val="none" w:sz="0" w:space="0" w:color="auto"/>
                                                <w:left w:val="none" w:sz="0" w:space="0" w:color="auto"/>
                                                <w:bottom w:val="none" w:sz="0" w:space="0" w:color="auto"/>
                                                <w:right w:val="none" w:sz="0" w:space="0" w:color="auto"/>
                                              </w:divBdr>
                                              <w:divsChild>
                                                <w:div w:id="1761609139">
                                                  <w:marLeft w:val="0"/>
                                                  <w:marRight w:val="0"/>
                                                  <w:marTop w:val="0"/>
                                                  <w:marBottom w:val="0"/>
                                                  <w:divBdr>
                                                    <w:top w:val="none" w:sz="0" w:space="0" w:color="auto"/>
                                                    <w:left w:val="none" w:sz="0" w:space="0" w:color="auto"/>
                                                    <w:bottom w:val="none" w:sz="0" w:space="0" w:color="auto"/>
                                                    <w:right w:val="none" w:sz="0" w:space="0" w:color="auto"/>
                                                  </w:divBdr>
                                                  <w:divsChild>
                                                    <w:div w:id="31267965">
                                                      <w:marLeft w:val="0"/>
                                                      <w:marRight w:val="0"/>
                                                      <w:marTop w:val="0"/>
                                                      <w:marBottom w:val="0"/>
                                                      <w:divBdr>
                                                        <w:top w:val="none" w:sz="0" w:space="0" w:color="auto"/>
                                                        <w:left w:val="none" w:sz="0" w:space="0" w:color="auto"/>
                                                        <w:bottom w:val="none" w:sz="0" w:space="0" w:color="auto"/>
                                                        <w:right w:val="none" w:sz="0" w:space="0" w:color="auto"/>
                                                      </w:divBdr>
                                                      <w:divsChild>
                                                        <w:div w:id="561332015">
                                                          <w:marLeft w:val="0"/>
                                                          <w:marRight w:val="0"/>
                                                          <w:marTop w:val="0"/>
                                                          <w:marBottom w:val="0"/>
                                                          <w:divBdr>
                                                            <w:top w:val="none" w:sz="0" w:space="0" w:color="auto"/>
                                                            <w:left w:val="none" w:sz="0" w:space="0" w:color="auto"/>
                                                            <w:bottom w:val="none" w:sz="0" w:space="0" w:color="auto"/>
                                                            <w:right w:val="none" w:sz="0" w:space="0" w:color="auto"/>
                                                          </w:divBdr>
                                                          <w:divsChild>
                                                            <w:div w:id="902374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32211364">
      <w:bodyDiv w:val="1"/>
      <w:marLeft w:val="0"/>
      <w:marRight w:val="0"/>
      <w:marTop w:val="0"/>
      <w:marBottom w:val="0"/>
      <w:divBdr>
        <w:top w:val="none" w:sz="0" w:space="0" w:color="auto"/>
        <w:left w:val="none" w:sz="0" w:space="0" w:color="auto"/>
        <w:bottom w:val="none" w:sz="0" w:space="0" w:color="auto"/>
        <w:right w:val="none" w:sz="0" w:space="0" w:color="auto"/>
      </w:divBdr>
    </w:div>
    <w:div w:id="1965234058">
      <w:bodyDiv w:val="1"/>
      <w:marLeft w:val="0"/>
      <w:marRight w:val="0"/>
      <w:marTop w:val="0"/>
      <w:marBottom w:val="0"/>
      <w:divBdr>
        <w:top w:val="none" w:sz="0" w:space="0" w:color="auto"/>
        <w:left w:val="none" w:sz="0" w:space="0" w:color="auto"/>
        <w:bottom w:val="none" w:sz="0" w:space="0" w:color="auto"/>
        <w:right w:val="none" w:sz="0" w:space="0" w:color="auto"/>
      </w:divBdr>
    </w:div>
    <w:div w:id="2048875292">
      <w:bodyDiv w:val="1"/>
      <w:marLeft w:val="0"/>
      <w:marRight w:val="0"/>
      <w:marTop w:val="0"/>
      <w:marBottom w:val="0"/>
      <w:divBdr>
        <w:top w:val="none" w:sz="0" w:space="0" w:color="auto"/>
        <w:left w:val="none" w:sz="0" w:space="0" w:color="auto"/>
        <w:bottom w:val="none" w:sz="0" w:space="0" w:color="auto"/>
        <w:right w:val="none" w:sz="0" w:space="0" w:color="auto"/>
      </w:divBdr>
    </w:div>
    <w:div w:id="2066567248">
      <w:bodyDiv w:val="1"/>
      <w:marLeft w:val="0"/>
      <w:marRight w:val="0"/>
      <w:marTop w:val="0"/>
      <w:marBottom w:val="0"/>
      <w:divBdr>
        <w:top w:val="none" w:sz="0" w:space="0" w:color="auto"/>
        <w:left w:val="none" w:sz="0" w:space="0" w:color="auto"/>
        <w:bottom w:val="none" w:sz="0" w:space="0" w:color="auto"/>
        <w:right w:val="none" w:sz="0" w:space="0" w:color="auto"/>
      </w:divBdr>
    </w:div>
    <w:div w:id="2136369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www.lavoce.inf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ink/ink1.xml"/><Relationship Id="rId17" Type="http://schemas.openxmlformats.org/officeDocument/2006/relationships/hyperlink" Target="http://www.lavoce.info" TargetMode="Externa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svg"/><Relationship Id="rId5" Type="http://schemas.openxmlformats.org/officeDocument/2006/relationships/webSettings" Target="webSettings.xml"/><Relationship Id="rId15" Type="http://schemas.openxmlformats.org/officeDocument/2006/relationships/chart" Target="charts/chart2.xm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svg"/><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Massarutto\Documents\Pubblicazioni\In%20lavoro\Submitted\Perch&#233;%20al%20settore%20dei%20rifiuti%20serve%20un%20regolatore%20indipendente%20-%20MCR\Tabelle%20articolo.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assarutto\Documents\Pubblicazioni\In%20lavoro\Submitted\Perch&#233;%20al%20settore%20dei%20rifiuti%20serve%20un%20regolatore%20indipendente%20-%20MCR\Tabelle%20articolo.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Massarutto\Documents\Pubblicazioni\In%20lavoro\Submitted\Perch&#233;%20al%20settore%20dei%20rifiuti%20serve%20un%20regolatore%20indipendente%20-%20MCR\Tabelle%20articolo.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1"/>
          <c:order val="1"/>
          <c:tx>
            <c:strRef>
              <c:f>Foglio4!$E$3:$E$4</c:f>
              <c:strCache>
                <c:ptCount val="2"/>
                <c:pt idx="0">
                  <c:v>F.O.I.</c:v>
                </c:pt>
              </c:strCache>
            </c:strRef>
          </c:tx>
          <c:spPr>
            <a:ln w="28575" cap="rnd">
              <a:solidFill>
                <a:schemeClr val="dk1">
                  <a:tint val="55000"/>
                </a:schemeClr>
              </a:solidFill>
              <a:round/>
            </a:ln>
            <a:effectLst/>
          </c:spPr>
          <c:marker>
            <c:symbol val="none"/>
          </c:marker>
          <c:cat>
            <c:numRef>
              <c:f>Foglio4!$C$5:$C$23</c:f>
              <c:numCache>
                <c:formatCode>General</c:formatCode>
                <c:ptCount val="19"/>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pt idx="16">
                  <c:v>2021</c:v>
                </c:pt>
                <c:pt idx="17">
                  <c:v>2022</c:v>
                </c:pt>
                <c:pt idx="18">
                  <c:v>2023</c:v>
                </c:pt>
              </c:numCache>
            </c:numRef>
          </c:cat>
          <c:val>
            <c:numRef>
              <c:f>Foglio4!$E$5:$E$23</c:f>
              <c:numCache>
                <c:formatCode>0.0%</c:formatCode>
                <c:ptCount val="19"/>
                <c:pt idx="0" formatCode="0.00%">
                  <c:v>1.7000000000000001E-2</c:v>
                </c:pt>
                <c:pt idx="1">
                  <c:v>0.02</c:v>
                </c:pt>
                <c:pt idx="2">
                  <c:v>1.7000000000000001E-2</c:v>
                </c:pt>
                <c:pt idx="3">
                  <c:v>3.2000000000000001E-2</c:v>
                </c:pt>
                <c:pt idx="4">
                  <c:v>7.0000000000000001E-3</c:v>
                </c:pt>
                <c:pt idx="5">
                  <c:v>1.6E-2</c:v>
                </c:pt>
                <c:pt idx="6">
                  <c:v>2.7E-2</c:v>
                </c:pt>
                <c:pt idx="7">
                  <c:v>0.03</c:v>
                </c:pt>
                <c:pt idx="8">
                  <c:v>1.0999999999999999E-2</c:v>
                </c:pt>
                <c:pt idx="9">
                  <c:v>2E-3</c:v>
                </c:pt>
                <c:pt idx="10">
                  <c:v>-1E-3</c:v>
                </c:pt>
                <c:pt idx="11">
                  <c:v>-1E-3</c:v>
                </c:pt>
                <c:pt idx="12">
                  <c:v>1.0999999999999999E-2</c:v>
                </c:pt>
                <c:pt idx="13">
                  <c:v>1.0999999999999999E-2</c:v>
                </c:pt>
                <c:pt idx="14">
                  <c:v>5.0000000000000001E-3</c:v>
                </c:pt>
                <c:pt idx="15">
                  <c:v>-3.0000000000000001E-3</c:v>
                </c:pt>
                <c:pt idx="16">
                  <c:v>1.9E-2</c:v>
                </c:pt>
                <c:pt idx="17">
                  <c:v>8.1000000000000003E-2</c:v>
                </c:pt>
                <c:pt idx="18">
                  <c:v>5.3999999999999999E-2</c:v>
                </c:pt>
              </c:numCache>
            </c:numRef>
          </c:val>
          <c:smooth val="0"/>
          <c:extLst>
            <c:ext xmlns:c16="http://schemas.microsoft.com/office/drawing/2014/chart" uri="{C3380CC4-5D6E-409C-BE32-E72D297353CC}">
              <c16:uniqueId val="{00000000-E1B4-4B28-AF04-0873C9C3A80C}"/>
            </c:ext>
          </c:extLst>
        </c:ser>
        <c:ser>
          <c:idx val="3"/>
          <c:order val="3"/>
          <c:tx>
            <c:strRef>
              <c:f>Foglio4!$G$3:$G$4</c:f>
              <c:strCache>
                <c:ptCount val="2"/>
                <c:pt idx="0">
                  <c:v>SGRU - ITA</c:v>
                </c:pt>
              </c:strCache>
            </c:strRef>
          </c:tx>
          <c:spPr>
            <a:ln w="28575" cap="rnd">
              <a:solidFill>
                <a:schemeClr val="dk1">
                  <a:tint val="98500"/>
                </a:schemeClr>
              </a:solidFill>
              <a:round/>
            </a:ln>
            <a:effectLst/>
          </c:spPr>
          <c:marker>
            <c:symbol val="none"/>
          </c:marker>
          <c:cat>
            <c:numRef>
              <c:f>Foglio4!$C$5:$C$23</c:f>
              <c:numCache>
                <c:formatCode>General</c:formatCode>
                <c:ptCount val="19"/>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pt idx="16">
                  <c:v>2021</c:v>
                </c:pt>
                <c:pt idx="17">
                  <c:v>2022</c:v>
                </c:pt>
                <c:pt idx="18">
                  <c:v>2023</c:v>
                </c:pt>
              </c:numCache>
            </c:numRef>
          </c:cat>
          <c:val>
            <c:numRef>
              <c:f>Foglio4!$G$5:$G$23</c:f>
              <c:numCache>
                <c:formatCode>General</c:formatCode>
                <c:ptCount val="19"/>
                <c:pt idx="6" formatCode="0.0%">
                  <c:v>0</c:v>
                </c:pt>
                <c:pt idx="7" formatCode="0.0%">
                  <c:v>1.2480896586856903E-2</c:v>
                </c:pt>
                <c:pt idx="8" formatCode="0.0%">
                  <c:v>-8.8050314465400225E-4</c:v>
                </c:pt>
                <c:pt idx="9" formatCode="0.0%">
                  <c:v>3.9216920558982682E-2</c:v>
                </c:pt>
                <c:pt idx="10" formatCode="0.0%">
                  <c:v>1.7142164879762459E-2</c:v>
                </c:pt>
                <c:pt idx="11" formatCode="0.0%">
                  <c:v>-2.6202953787517733E-3</c:v>
                </c:pt>
                <c:pt idx="12" formatCode="0.0%">
                  <c:v>2.2151898734177264E-2</c:v>
                </c:pt>
                <c:pt idx="13" formatCode="0.0%">
                  <c:v>2.6637069922308559E-2</c:v>
                </c:pt>
                <c:pt idx="14" formatCode="0.0%">
                  <c:v>7.226173541963074E-3</c:v>
                </c:pt>
                <c:pt idx="15" formatCode="0.0%">
                  <c:v>4.8412608744774557E-2</c:v>
                </c:pt>
                <c:pt idx="16" formatCode="0.0%">
                  <c:v>4.5961528099574336E-2</c:v>
                </c:pt>
                <c:pt idx="17" formatCode="0.0%">
                  <c:v>-9.5301875128786014E-3</c:v>
                </c:pt>
                <c:pt idx="18" formatCode="0.0%">
                  <c:v>2.4704842149061216E-2</c:v>
                </c:pt>
              </c:numCache>
            </c:numRef>
          </c:val>
          <c:smooth val="0"/>
          <c:extLst>
            <c:ext xmlns:c16="http://schemas.microsoft.com/office/drawing/2014/chart" uri="{C3380CC4-5D6E-409C-BE32-E72D297353CC}">
              <c16:uniqueId val="{00000001-E1B4-4B28-AF04-0873C9C3A80C}"/>
            </c:ext>
          </c:extLst>
        </c:ser>
        <c:ser>
          <c:idx val="7"/>
          <c:order val="7"/>
          <c:tx>
            <c:strRef>
              <c:f>Foglio4!$K$3:$K$4</c:f>
              <c:strCache>
                <c:ptCount val="2"/>
                <c:pt idx="0">
                  <c:v>TARI</c:v>
                </c:pt>
              </c:strCache>
            </c:strRef>
          </c:tx>
          <c:spPr>
            <a:ln w="28575" cap="rnd">
              <a:solidFill>
                <a:schemeClr val="dk1">
                  <a:tint val="88500"/>
                </a:schemeClr>
              </a:solidFill>
              <a:round/>
            </a:ln>
            <a:effectLst/>
          </c:spPr>
          <c:marker>
            <c:symbol val="none"/>
          </c:marker>
          <c:cat>
            <c:numRef>
              <c:f>Foglio4!$C$5:$C$23</c:f>
              <c:numCache>
                <c:formatCode>General</c:formatCode>
                <c:ptCount val="19"/>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pt idx="16">
                  <c:v>2021</c:v>
                </c:pt>
                <c:pt idx="17">
                  <c:v>2022</c:v>
                </c:pt>
                <c:pt idx="18">
                  <c:v>2023</c:v>
                </c:pt>
              </c:numCache>
            </c:numRef>
          </c:cat>
          <c:val>
            <c:numRef>
              <c:f>Foglio4!$K$5:$K$23</c:f>
              <c:numCache>
                <c:formatCode>General</c:formatCode>
                <c:ptCount val="19"/>
                <c:pt idx="10" formatCode="0.00%">
                  <c:v>2.1037868162693645E-3</c:v>
                </c:pt>
                <c:pt idx="11" formatCode="0.00%">
                  <c:v>-4.1987403778865938E-3</c:v>
                </c:pt>
                <c:pt idx="12" formatCode="0.00%">
                  <c:v>4.2164441321152091E-3</c:v>
                </c:pt>
                <c:pt idx="13" formatCode="0.00%">
                  <c:v>-3.4989503149055281E-3</c:v>
                </c:pt>
                <c:pt idx="14" formatCode="0.00%">
                  <c:v>7.0224719101119604E-4</c:v>
                </c:pt>
                <c:pt idx="15" formatCode="0.00%">
                  <c:v>6.3157894736842503E-3</c:v>
                </c:pt>
                <c:pt idx="16" formatCode="0.00%">
                  <c:v>1.8131101813110142E-2</c:v>
                </c:pt>
                <c:pt idx="17" formatCode="0.00%">
                  <c:v>4.1095890410958518E-3</c:v>
                </c:pt>
                <c:pt idx="18" formatCode="0.00%">
                  <c:v>2.5920873124147419E-2</c:v>
                </c:pt>
              </c:numCache>
            </c:numRef>
          </c:val>
          <c:smooth val="0"/>
          <c:extLst>
            <c:ext xmlns:c16="http://schemas.microsoft.com/office/drawing/2014/chart" uri="{C3380CC4-5D6E-409C-BE32-E72D297353CC}">
              <c16:uniqueId val="{00000002-E1B4-4B28-AF04-0873C9C3A80C}"/>
            </c:ext>
          </c:extLst>
        </c:ser>
        <c:dLbls>
          <c:showLegendKey val="0"/>
          <c:showVal val="0"/>
          <c:showCatName val="0"/>
          <c:showSerName val="0"/>
          <c:showPercent val="0"/>
          <c:showBubbleSize val="0"/>
        </c:dLbls>
        <c:smooth val="0"/>
        <c:axId val="125185599"/>
        <c:axId val="125175199"/>
        <c:extLst>
          <c:ext xmlns:c15="http://schemas.microsoft.com/office/drawing/2012/chart" uri="{02D57815-91ED-43cb-92C2-25804820EDAC}">
            <c15:filteredLineSeries>
              <c15:ser>
                <c:idx val="0"/>
                <c:order val="0"/>
                <c:tx>
                  <c:strRef>
                    <c:extLst>
                      <c:ext uri="{02D57815-91ED-43cb-92C2-25804820EDAC}">
                        <c15:formulaRef>
                          <c15:sqref>Foglio4!$D$3:$D$4</c15:sqref>
                        </c15:formulaRef>
                      </c:ext>
                    </c:extLst>
                    <c:strCache>
                      <c:ptCount val="2"/>
                      <c:pt idx="0">
                        <c:v>N.I.C.</c:v>
                      </c:pt>
                    </c:strCache>
                  </c:strRef>
                </c:tx>
                <c:spPr>
                  <a:ln w="28575" cap="rnd">
                    <a:solidFill>
                      <a:schemeClr val="dk1">
                        <a:tint val="88500"/>
                      </a:schemeClr>
                    </a:solidFill>
                    <a:round/>
                  </a:ln>
                  <a:effectLst/>
                </c:spPr>
                <c:marker>
                  <c:symbol val="none"/>
                </c:marker>
                <c:cat>
                  <c:numRef>
                    <c:extLst>
                      <c:ext uri="{02D57815-91ED-43cb-92C2-25804820EDAC}">
                        <c15:formulaRef>
                          <c15:sqref>Foglio4!$C$5:$C$23</c15:sqref>
                        </c15:formulaRef>
                      </c:ext>
                    </c:extLst>
                    <c:numCache>
                      <c:formatCode>General</c:formatCode>
                      <c:ptCount val="19"/>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pt idx="16">
                        <c:v>2021</c:v>
                      </c:pt>
                      <c:pt idx="17">
                        <c:v>2022</c:v>
                      </c:pt>
                      <c:pt idx="18">
                        <c:v>2023</c:v>
                      </c:pt>
                    </c:numCache>
                  </c:numRef>
                </c:cat>
                <c:val>
                  <c:numRef>
                    <c:extLst>
                      <c:ext uri="{02D57815-91ED-43cb-92C2-25804820EDAC}">
                        <c15:formulaRef>
                          <c15:sqref>Foglio4!$D$5:$D$23</c15:sqref>
                        </c15:formulaRef>
                      </c:ext>
                    </c:extLst>
                    <c:numCache>
                      <c:formatCode>0.0%</c:formatCode>
                      <c:ptCount val="19"/>
                      <c:pt idx="0" formatCode="0.00%">
                        <c:v>1.9E-2</c:v>
                      </c:pt>
                      <c:pt idx="1">
                        <c:v>2.1000000000000001E-2</c:v>
                      </c:pt>
                      <c:pt idx="2">
                        <c:v>1.7999999999999999E-2</c:v>
                      </c:pt>
                      <c:pt idx="3">
                        <c:v>3.3000000000000002E-2</c:v>
                      </c:pt>
                      <c:pt idx="4">
                        <c:v>8.0000000000000002E-3</c:v>
                      </c:pt>
                      <c:pt idx="5">
                        <c:v>1.4999999999999999E-2</c:v>
                      </c:pt>
                      <c:pt idx="6">
                        <c:v>2.8000000000000001E-2</c:v>
                      </c:pt>
                      <c:pt idx="7">
                        <c:v>0.03</c:v>
                      </c:pt>
                      <c:pt idx="8">
                        <c:v>1.2E-2</c:v>
                      </c:pt>
                      <c:pt idx="9">
                        <c:v>2E-3</c:v>
                      </c:pt>
                      <c:pt idx="10">
                        <c:v>1E-3</c:v>
                      </c:pt>
                      <c:pt idx="11">
                        <c:v>-1E-3</c:v>
                      </c:pt>
                      <c:pt idx="12">
                        <c:v>1.2E-2</c:v>
                      </c:pt>
                      <c:pt idx="13">
                        <c:v>1.2E-2</c:v>
                      </c:pt>
                      <c:pt idx="14">
                        <c:v>6.0000000000000001E-3</c:v>
                      </c:pt>
                      <c:pt idx="15">
                        <c:v>-2E-3</c:v>
                      </c:pt>
                      <c:pt idx="16">
                        <c:v>1.9E-2</c:v>
                      </c:pt>
                      <c:pt idx="17">
                        <c:v>8.1000000000000003E-2</c:v>
                      </c:pt>
                      <c:pt idx="18">
                        <c:v>5.7000000000000002E-2</c:v>
                      </c:pt>
                    </c:numCache>
                  </c:numRef>
                </c:val>
                <c:smooth val="0"/>
                <c:extLst>
                  <c:ext xmlns:c16="http://schemas.microsoft.com/office/drawing/2014/chart" uri="{C3380CC4-5D6E-409C-BE32-E72D297353CC}">
                    <c16:uniqueId val="{00000003-E1B4-4B28-AF04-0873C9C3A80C}"/>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Foglio4!$F$3:$F$4</c15:sqref>
                        </c15:formulaRef>
                      </c:ext>
                    </c:extLst>
                    <c:strCache>
                      <c:ptCount val="2"/>
                      <c:pt idx="0">
                        <c:v>I.P.C.A.</c:v>
                      </c:pt>
                    </c:strCache>
                  </c:strRef>
                </c:tx>
                <c:spPr>
                  <a:ln w="28575" cap="rnd">
                    <a:solidFill>
                      <a:schemeClr val="dk1">
                        <a:tint val="75000"/>
                      </a:schemeClr>
                    </a:solidFill>
                    <a:round/>
                  </a:ln>
                  <a:effectLst/>
                </c:spPr>
                <c:marker>
                  <c:symbol val="none"/>
                </c:marker>
                <c:cat>
                  <c:numRef>
                    <c:extLst xmlns:c15="http://schemas.microsoft.com/office/drawing/2012/chart">
                      <c:ext xmlns:c15="http://schemas.microsoft.com/office/drawing/2012/chart" uri="{02D57815-91ED-43cb-92C2-25804820EDAC}">
                        <c15:formulaRef>
                          <c15:sqref>Foglio4!$C$5:$C$23</c15:sqref>
                        </c15:formulaRef>
                      </c:ext>
                    </c:extLst>
                    <c:numCache>
                      <c:formatCode>General</c:formatCode>
                      <c:ptCount val="19"/>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pt idx="16">
                        <c:v>2021</c:v>
                      </c:pt>
                      <c:pt idx="17">
                        <c:v>2022</c:v>
                      </c:pt>
                      <c:pt idx="18">
                        <c:v>2023</c:v>
                      </c:pt>
                    </c:numCache>
                  </c:numRef>
                </c:cat>
                <c:val>
                  <c:numRef>
                    <c:extLst xmlns:c15="http://schemas.microsoft.com/office/drawing/2012/chart">
                      <c:ext xmlns:c15="http://schemas.microsoft.com/office/drawing/2012/chart" uri="{02D57815-91ED-43cb-92C2-25804820EDAC}">
                        <c15:formulaRef>
                          <c15:sqref>Foglio4!$F$5:$F$23</c15:sqref>
                        </c15:formulaRef>
                      </c:ext>
                    </c:extLst>
                    <c:numCache>
                      <c:formatCode>0.0%</c:formatCode>
                      <c:ptCount val="19"/>
                      <c:pt idx="0" formatCode="0.00%">
                        <c:v>2.1999999999999999E-2</c:v>
                      </c:pt>
                      <c:pt idx="1">
                        <c:v>2.1999999999999999E-2</c:v>
                      </c:pt>
                      <c:pt idx="2">
                        <c:v>0.02</c:v>
                      </c:pt>
                      <c:pt idx="3">
                        <c:v>3.5000000000000003E-2</c:v>
                      </c:pt>
                      <c:pt idx="4">
                        <c:v>8.0000000000000002E-3</c:v>
                      </c:pt>
                      <c:pt idx="5">
                        <c:v>1.6E-2</c:v>
                      </c:pt>
                      <c:pt idx="6">
                        <c:v>2.9000000000000001E-2</c:v>
                      </c:pt>
                      <c:pt idx="7">
                        <c:v>3.3000000000000002E-2</c:v>
                      </c:pt>
                      <c:pt idx="8">
                        <c:v>1.2999999999999999E-2</c:v>
                      </c:pt>
                      <c:pt idx="9">
                        <c:v>2E-3</c:v>
                      </c:pt>
                      <c:pt idx="10">
                        <c:v>1E-3</c:v>
                      </c:pt>
                      <c:pt idx="11">
                        <c:v>-1E-3</c:v>
                      </c:pt>
                      <c:pt idx="12">
                        <c:v>1.2999999999999999E-2</c:v>
                      </c:pt>
                      <c:pt idx="13">
                        <c:v>1.2E-2</c:v>
                      </c:pt>
                      <c:pt idx="14">
                        <c:v>6.0000000000000001E-3</c:v>
                      </c:pt>
                      <c:pt idx="15">
                        <c:v>-1E-3</c:v>
                      </c:pt>
                      <c:pt idx="16">
                        <c:v>1.9E-2</c:v>
                      </c:pt>
                      <c:pt idx="17">
                        <c:v>8.6999999999999994E-2</c:v>
                      </c:pt>
                      <c:pt idx="18">
                        <c:v>5.8999999999999997E-2</c:v>
                      </c:pt>
                    </c:numCache>
                  </c:numRef>
                </c:val>
                <c:smooth val="0"/>
                <c:extLst xmlns:c15="http://schemas.microsoft.com/office/drawing/2012/chart">
                  <c:ext xmlns:c16="http://schemas.microsoft.com/office/drawing/2014/chart" uri="{C3380CC4-5D6E-409C-BE32-E72D297353CC}">
                    <c16:uniqueId val="{00000004-E1B4-4B28-AF04-0873C9C3A80C}"/>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Foglio4!$H$3:$H$4</c15:sqref>
                        </c15:formulaRef>
                      </c:ext>
                    </c:extLst>
                    <c:strCache>
                      <c:ptCount val="2"/>
                      <c:pt idx="0">
                        <c:v>SGRU - NORD</c:v>
                      </c:pt>
                    </c:strCache>
                  </c:strRef>
                </c:tx>
                <c:spPr>
                  <a:ln w="28575" cap="rnd">
                    <a:solidFill>
                      <a:schemeClr val="dk1">
                        <a:tint val="30000"/>
                      </a:schemeClr>
                    </a:solidFill>
                    <a:round/>
                  </a:ln>
                  <a:effectLst/>
                </c:spPr>
                <c:marker>
                  <c:symbol val="none"/>
                </c:marker>
                <c:cat>
                  <c:numRef>
                    <c:extLst xmlns:c15="http://schemas.microsoft.com/office/drawing/2012/chart">
                      <c:ext xmlns:c15="http://schemas.microsoft.com/office/drawing/2012/chart" uri="{02D57815-91ED-43cb-92C2-25804820EDAC}">
                        <c15:formulaRef>
                          <c15:sqref>Foglio4!$C$5:$C$23</c15:sqref>
                        </c15:formulaRef>
                      </c:ext>
                    </c:extLst>
                    <c:numCache>
                      <c:formatCode>General</c:formatCode>
                      <c:ptCount val="19"/>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pt idx="16">
                        <c:v>2021</c:v>
                      </c:pt>
                      <c:pt idx="17">
                        <c:v>2022</c:v>
                      </c:pt>
                      <c:pt idx="18">
                        <c:v>2023</c:v>
                      </c:pt>
                    </c:numCache>
                  </c:numRef>
                </c:cat>
                <c:val>
                  <c:numRef>
                    <c:extLst xmlns:c15="http://schemas.microsoft.com/office/drawing/2012/chart">
                      <c:ext xmlns:c15="http://schemas.microsoft.com/office/drawing/2012/chart" uri="{02D57815-91ED-43cb-92C2-25804820EDAC}">
                        <c15:formulaRef>
                          <c15:sqref>Foglio4!$H$5:$H$23</c15:sqref>
                        </c15:formulaRef>
                      </c:ext>
                    </c:extLst>
                    <c:numCache>
                      <c:formatCode>General</c:formatCode>
                      <c:ptCount val="19"/>
                      <c:pt idx="6">
                        <c:v>0</c:v>
                      </c:pt>
                      <c:pt idx="7" formatCode="0.0%">
                        <c:v>6.0601838952354728E-3</c:v>
                      </c:pt>
                      <c:pt idx="8" formatCode="0.0%">
                        <c:v>2.1463684830021622E-3</c:v>
                      </c:pt>
                      <c:pt idx="9" formatCode="0.0%">
                        <c:v>2.445764819676656E-2</c:v>
                      </c:pt>
                      <c:pt idx="10" formatCode="0.0%">
                        <c:v>3.9115187483140844E-3</c:v>
                      </c:pt>
                      <c:pt idx="11" formatCode="0.0%">
                        <c:v>6.3146580679833246E-3</c:v>
                      </c:pt>
                      <c:pt idx="12" formatCode="0.0%">
                        <c:v>9.0787716955940262E-3</c:v>
                      </c:pt>
                      <c:pt idx="13" formatCode="0.0%">
                        <c:v>2.3617359089706226E-2</c:v>
                      </c:pt>
                      <c:pt idx="14" formatCode="0.0%">
                        <c:v>7.8847023847993213E-3</c:v>
                      </c:pt>
                      <c:pt idx="15" formatCode="0.0%">
                        <c:v>6.1750561077268513E-2</c:v>
                      </c:pt>
                      <c:pt idx="16" formatCode="0.0%">
                        <c:v>5.0247614446189109E-2</c:v>
                      </c:pt>
                      <c:pt idx="17" formatCode="0.0%">
                        <c:v>-2.0874065554916593E-2</c:v>
                      </c:pt>
                      <c:pt idx="18" formatCode="0.0%">
                        <c:v>1.767780583778699E-2</c:v>
                      </c:pt>
                    </c:numCache>
                  </c:numRef>
                </c:val>
                <c:smooth val="0"/>
                <c:extLst xmlns:c15="http://schemas.microsoft.com/office/drawing/2012/chart">
                  <c:ext xmlns:c16="http://schemas.microsoft.com/office/drawing/2014/chart" uri="{C3380CC4-5D6E-409C-BE32-E72D297353CC}">
                    <c16:uniqueId val="{00000005-E1B4-4B28-AF04-0873C9C3A80C}"/>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Foglio4!$I$3:$I$4</c15:sqref>
                        </c15:formulaRef>
                      </c:ext>
                    </c:extLst>
                    <c:strCache>
                      <c:ptCount val="2"/>
                      <c:pt idx="0">
                        <c:v>SGRU-CENTRO</c:v>
                      </c:pt>
                    </c:strCache>
                  </c:strRef>
                </c:tx>
                <c:spPr>
                  <a:ln w="28575" cap="rnd">
                    <a:solidFill>
                      <a:schemeClr val="dk1">
                        <a:tint val="60000"/>
                      </a:schemeClr>
                    </a:solidFill>
                    <a:round/>
                  </a:ln>
                  <a:effectLst/>
                </c:spPr>
                <c:marker>
                  <c:symbol val="none"/>
                </c:marker>
                <c:cat>
                  <c:numRef>
                    <c:extLst xmlns:c15="http://schemas.microsoft.com/office/drawing/2012/chart">
                      <c:ext xmlns:c15="http://schemas.microsoft.com/office/drawing/2012/chart" uri="{02D57815-91ED-43cb-92C2-25804820EDAC}">
                        <c15:formulaRef>
                          <c15:sqref>Foglio4!$C$5:$C$23</c15:sqref>
                        </c15:formulaRef>
                      </c:ext>
                    </c:extLst>
                    <c:numCache>
                      <c:formatCode>General</c:formatCode>
                      <c:ptCount val="19"/>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pt idx="16">
                        <c:v>2021</c:v>
                      </c:pt>
                      <c:pt idx="17">
                        <c:v>2022</c:v>
                      </c:pt>
                      <c:pt idx="18">
                        <c:v>2023</c:v>
                      </c:pt>
                    </c:numCache>
                  </c:numRef>
                </c:cat>
                <c:val>
                  <c:numRef>
                    <c:extLst xmlns:c15="http://schemas.microsoft.com/office/drawing/2012/chart">
                      <c:ext xmlns:c15="http://schemas.microsoft.com/office/drawing/2012/chart" uri="{02D57815-91ED-43cb-92C2-25804820EDAC}">
                        <c15:formulaRef>
                          <c15:sqref>Foglio4!$I$5:$I$23</c15:sqref>
                        </c15:formulaRef>
                      </c:ext>
                    </c:extLst>
                    <c:numCache>
                      <c:formatCode>General</c:formatCode>
                      <c:ptCount val="19"/>
                      <c:pt idx="6">
                        <c:v>0</c:v>
                      </c:pt>
                      <c:pt idx="7" formatCode="0.0%">
                        <c:v>1.6332244517032225E-2</c:v>
                      </c:pt>
                      <c:pt idx="8" formatCode="0.0%">
                        <c:v>-7.6522803795531068E-3</c:v>
                      </c:pt>
                      <c:pt idx="9" formatCode="0.0%">
                        <c:v>7.4131194735759756E-2</c:v>
                      </c:pt>
                      <c:pt idx="10" formatCode="0.0%">
                        <c:v>-8.1841677036470183E-3</c:v>
                      </c:pt>
                      <c:pt idx="11" formatCode="0.0%">
                        <c:v>7.1418230951117998E-3</c:v>
                      </c:pt>
                      <c:pt idx="12" formatCode="0.0%">
                        <c:v>-8.7681471898807557E-3</c:v>
                      </c:pt>
                      <c:pt idx="13" formatCode="0.0%">
                        <c:v>1.8948182521268446E-2</c:v>
                      </c:pt>
                      <c:pt idx="14" formatCode="0.0%">
                        <c:v>1.9449715370018813E-3</c:v>
                      </c:pt>
                      <c:pt idx="15" formatCode="0.0%">
                        <c:v>4.9950286444770522E-2</c:v>
                      </c:pt>
                      <c:pt idx="16" formatCode="0.0%">
                        <c:v>4.0494227994228076E-2</c:v>
                      </c:pt>
                      <c:pt idx="17" formatCode="0.0%">
                        <c:v>-1.0791366906474859E-2</c:v>
                      </c:pt>
                      <c:pt idx="18" formatCode="0.0%">
                        <c:v>2.3307776560788578E-2</c:v>
                      </c:pt>
                    </c:numCache>
                  </c:numRef>
                </c:val>
                <c:smooth val="0"/>
                <c:extLst xmlns:c15="http://schemas.microsoft.com/office/drawing/2012/chart">
                  <c:ext xmlns:c16="http://schemas.microsoft.com/office/drawing/2014/chart" uri="{C3380CC4-5D6E-409C-BE32-E72D297353CC}">
                    <c16:uniqueId val="{00000006-E1B4-4B28-AF04-0873C9C3A80C}"/>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Foglio4!$J$3:$J$4</c15:sqref>
                        </c15:formulaRef>
                      </c:ext>
                    </c:extLst>
                    <c:strCache>
                      <c:ptCount val="2"/>
                      <c:pt idx="0">
                        <c:v>SGRU-SUD</c:v>
                      </c:pt>
                    </c:strCache>
                  </c:strRef>
                </c:tx>
                <c:spPr>
                  <a:ln w="28575" cap="rnd">
                    <a:solidFill>
                      <a:schemeClr val="dk1">
                        <a:tint val="80000"/>
                      </a:schemeClr>
                    </a:solidFill>
                    <a:round/>
                  </a:ln>
                  <a:effectLst/>
                </c:spPr>
                <c:marker>
                  <c:symbol val="none"/>
                </c:marker>
                <c:cat>
                  <c:numRef>
                    <c:extLst xmlns:c15="http://schemas.microsoft.com/office/drawing/2012/chart">
                      <c:ext xmlns:c15="http://schemas.microsoft.com/office/drawing/2012/chart" uri="{02D57815-91ED-43cb-92C2-25804820EDAC}">
                        <c15:formulaRef>
                          <c15:sqref>Foglio4!$C$5:$C$23</c15:sqref>
                        </c15:formulaRef>
                      </c:ext>
                    </c:extLst>
                    <c:numCache>
                      <c:formatCode>General</c:formatCode>
                      <c:ptCount val="19"/>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pt idx="16">
                        <c:v>2021</c:v>
                      </c:pt>
                      <c:pt idx="17">
                        <c:v>2022</c:v>
                      </c:pt>
                      <c:pt idx="18">
                        <c:v>2023</c:v>
                      </c:pt>
                    </c:numCache>
                  </c:numRef>
                </c:cat>
                <c:val>
                  <c:numRef>
                    <c:extLst xmlns:c15="http://schemas.microsoft.com/office/drawing/2012/chart">
                      <c:ext xmlns:c15="http://schemas.microsoft.com/office/drawing/2012/chart" uri="{02D57815-91ED-43cb-92C2-25804820EDAC}">
                        <c15:formulaRef>
                          <c15:sqref>Foglio4!$J$5:$J$23</c15:sqref>
                        </c15:formulaRef>
                      </c:ext>
                    </c:extLst>
                    <c:numCache>
                      <c:formatCode>General</c:formatCode>
                      <c:ptCount val="19"/>
                      <c:pt idx="6">
                        <c:v>0</c:v>
                      </c:pt>
                      <c:pt idx="7" formatCode="0.0%">
                        <c:v>2.4146279306829714E-2</c:v>
                      </c:pt>
                      <c:pt idx="8" formatCode="0.0%">
                        <c:v>-6.8429237947122508E-3</c:v>
                      </c:pt>
                      <c:pt idx="9" formatCode="0.0%">
                        <c:v>3.4826182273723784E-2</c:v>
                      </c:pt>
                      <c:pt idx="10" formatCode="0.0%">
                        <c:v>6.0105320501180184E-2</c:v>
                      </c:pt>
                      <c:pt idx="11" formatCode="0.0%">
                        <c:v>-2.118305355715416E-2</c:v>
                      </c:pt>
                      <c:pt idx="12" formatCode="0.0%">
                        <c:v>6.3232806393280078E-2</c:v>
                      </c:pt>
                      <c:pt idx="13" formatCode="0.0%">
                        <c:v>3.2808470949689965E-2</c:v>
                      </c:pt>
                      <c:pt idx="14" formatCode="0.0%">
                        <c:v>1.6254980079681288E-2</c:v>
                      </c:pt>
                      <c:pt idx="15" formatCode="0.0%">
                        <c:v>2.2790235743034789E-2</c:v>
                      </c:pt>
                      <c:pt idx="16" formatCode="0.0%">
                        <c:v>3.3883579496090478E-2</c:v>
                      </c:pt>
                      <c:pt idx="17" formatCode="0.0%">
                        <c:v>0</c:v>
                      </c:pt>
                      <c:pt idx="18" formatCode="0.0%">
                        <c:v>4.5130993573900123E-2</c:v>
                      </c:pt>
                    </c:numCache>
                  </c:numRef>
                </c:val>
                <c:smooth val="0"/>
                <c:extLst xmlns:c15="http://schemas.microsoft.com/office/drawing/2012/chart">
                  <c:ext xmlns:c16="http://schemas.microsoft.com/office/drawing/2014/chart" uri="{C3380CC4-5D6E-409C-BE32-E72D297353CC}">
                    <c16:uniqueId val="{00000007-E1B4-4B28-AF04-0873C9C3A80C}"/>
                  </c:ext>
                </c:extLst>
              </c15:ser>
            </c15:filteredLineSeries>
          </c:ext>
        </c:extLst>
      </c:lineChart>
      <c:catAx>
        <c:axId val="1251855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25175199"/>
        <c:crosses val="autoZero"/>
        <c:auto val="1"/>
        <c:lblAlgn val="ctr"/>
        <c:lblOffset val="100"/>
        <c:noMultiLvlLbl val="0"/>
      </c:catAx>
      <c:valAx>
        <c:axId val="12517519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it-IT"/>
          </a:p>
        </c:txPr>
        <c:crossAx val="1251855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radarChart>
        <c:radarStyle val="marker"/>
        <c:varyColors val="0"/>
        <c:ser>
          <c:idx val="0"/>
          <c:order val="0"/>
          <c:tx>
            <c:strRef>
              <c:f>Foglio6!$G$3</c:f>
              <c:strCache>
                <c:ptCount val="1"/>
                <c:pt idx="0">
                  <c:v>Limite max</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Foglio6!$F$4:$F$8</c:f>
              <c:strCache>
                <c:ptCount val="5"/>
                <c:pt idx="0">
                  <c:v>Nord-Ovest</c:v>
                </c:pt>
                <c:pt idx="1">
                  <c:v>Nord-Est</c:v>
                </c:pt>
                <c:pt idx="2">
                  <c:v>Centro</c:v>
                </c:pt>
                <c:pt idx="3">
                  <c:v>Sud</c:v>
                </c:pt>
                <c:pt idx="4">
                  <c:v>Isole</c:v>
                </c:pt>
              </c:strCache>
            </c:strRef>
          </c:cat>
          <c:val>
            <c:numRef>
              <c:f>Foglio6!$G$4:$G$8</c:f>
              <c:numCache>
                <c:formatCode>0.00%</c:formatCode>
                <c:ptCount val="5"/>
                <c:pt idx="0">
                  <c:v>3.1E-2</c:v>
                </c:pt>
                <c:pt idx="1">
                  <c:v>3.9E-2</c:v>
                </c:pt>
                <c:pt idx="2">
                  <c:v>4.8000000000000001E-2</c:v>
                </c:pt>
                <c:pt idx="3">
                  <c:v>2.5999999999999999E-2</c:v>
                </c:pt>
                <c:pt idx="4">
                  <c:v>3.5000000000000003E-2</c:v>
                </c:pt>
              </c:numCache>
            </c:numRef>
          </c:val>
          <c:extLst>
            <c:ext xmlns:c16="http://schemas.microsoft.com/office/drawing/2014/chart" uri="{C3380CC4-5D6E-409C-BE32-E72D297353CC}">
              <c16:uniqueId val="{00000000-9A15-490A-9122-4EF19AB73A61}"/>
            </c:ext>
          </c:extLst>
        </c:ser>
        <c:ser>
          <c:idx val="1"/>
          <c:order val="1"/>
          <c:tx>
            <c:strRef>
              <c:f>Foglio6!$H$3</c:f>
              <c:strCache>
                <c:ptCount val="1"/>
                <c:pt idx="0">
                  <c:v>∆ effettivo</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Foglio6!$F$4:$F$8</c:f>
              <c:strCache>
                <c:ptCount val="5"/>
                <c:pt idx="0">
                  <c:v>Nord-Ovest</c:v>
                </c:pt>
                <c:pt idx="1">
                  <c:v>Nord-Est</c:v>
                </c:pt>
                <c:pt idx="2">
                  <c:v>Centro</c:v>
                </c:pt>
                <c:pt idx="3">
                  <c:v>Sud</c:v>
                </c:pt>
                <c:pt idx="4">
                  <c:v>Isole</c:v>
                </c:pt>
              </c:strCache>
            </c:strRef>
          </c:cat>
          <c:val>
            <c:numRef>
              <c:f>Foglio6!$H$4:$H$8</c:f>
              <c:numCache>
                <c:formatCode>0.0%</c:formatCode>
                <c:ptCount val="5"/>
                <c:pt idx="0">
                  <c:v>2.3E-2</c:v>
                </c:pt>
                <c:pt idx="1">
                  <c:v>2.4E-2</c:v>
                </c:pt>
                <c:pt idx="2">
                  <c:v>2.8000000000000001E-2</c:v>
                </c:pt>
                <c:pt idx="3">
                  <c:v>1.7000000000000001E-2</c:v>
                </c:pt>
                <c:pt idx="4">
                  <c:v>2.1000000000000001E-2</c:v>
                </c:pt>
              </c:numCache>
            </c:numRef>
          </c:val>
          <c:extLst>
            <c:ext xmlns:c16="http://schemas.microsoft.com/office/drawing/2014/chart" uri="{C3380CC4-5D6E-409C-BE32-E72D297353CC}">
              <c16:uniqueId val="{00000001-9A15-490A-9122-4EF19AB73A61}"/>
            </c:ext>
          </c:extLst>
        </c:ser>
        <c:dLbls>
          <c:showLegendKey val="0"/>
          <c:showVal val="0"/>
          <c:showCatName val="0"/>
          <c:showSerName val="0"/>
          <c:showPercent val="0"/>
          <c:showBubbleSize val="0"/>
        </c:dLbls>
        <c:axId val="123241551"/>
        <c:axId val="123235311"/>
      </c:radarChart>
      <c:catAx>
        <c:axId val="1232415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23235311"/>
        <c:crosses val="autoZero"/>
        <c:auto val="1"/>
        <c:lblAlgn val="ctr"/>
        <c:lblOffset val="100"/>
        <c:noMultiLvlLbl val="0"/>
      </c:catAx>
      <c:valAx>
        <c:axId val="123235311"/>
        <c:scaling>
          <c:orientation val="minMax"/>
        </c:scaling>
        <c:delete val="1"/>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crossAx val="12324155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radarChart>
        <c:radarStyle val="marker"/>
        <c:varyColors val="0"/>
        <c:ser>
          <c:idx val="0"/>
          <c:order val="0"/>
          <c:tx>
            <c:strRef>
              <c:f>Foglio6!$K$3</c:f>
              <c:strCache>
                <c:ptCount val="1"/>
                <c:pt idx="0">
                  <c:v>Limite max</c:v>
                </c:pt>
              </c:strCache>
            </c:strRef>
          </c:tx>
          <c:spPr>
            <a:ln w="28575" cap="rnd">
              <a:solidFill>
                <a:schemeClr val="accent1"/>
              </a:solidFill>
              <a:round/>
            </a:ln>
            <a:effectLst/>
          </c:spPr>
          <c:marker>
            <c:symbol val="none"/>
          </c:marker>
          <c:dLbls>
            <c:dLbl>
              <c:idx val="0"/>
              <c:layout>
                <c:manualLayout>
                  <c:x val="0"/>
                  <c:y val="0.1000625325170401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4CC-4879-A9FA-0BE51A531301}"/>
                </c:ext>
              </c:extLst>
            </c:dLbl>
            <c:dLbl>
              <c:idx val="1"/>
              <c:layout>
                <c:manualLayout>
                  <c:x val="-8.8611966801910386E-2"/>
                  <c:y val="2.66833420045440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4CC-4879-A9FA-0BE51A531301}"/>
                </c:ext>
              </c:extLst>
            </c:dLbl>
            <c:dLbl>
              <c:idx val="2"/>
              <c:layout>
                <c:manualLayout>
                  <c:x val="-6.0920727176313395E-2"/>
                  <c:y val="-7.6714608263064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4CC-4879-A9FA-0BE51A531301}"/>
                </c:ext>
              </c:extLst>
            </c:dLbl>
            <c:dLbl>
              <c:idx val="3"/>
              <c:layout>
                <c:manualLayout>
                  <c:x val="5.8151603213753691E-2"/>
                  <c:y val="-9.672711476647229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4CC-4879-A9FA-0BE51A531301}"/>
                </c:ext>
              </c:extLst>
            </c:dLbl>
            <c:dLbl>
              <c:idx val="4"/>
              <c:layout>
                <c:manualLayout>
                  <c:x val="0.11076495850238793"/>
                  <c:y val="3.00187597551120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4CC-4879-A9FA-0BE51A531301}"/>
                </c:ext>
              </c:extLst>
            </c:dLbl>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Foglio6!$J$4:$J$8</c:f>
              <c:strCache>
                <c:ptCount val="5"/>
                <c:pt idx="0">
                  <c:v>&lt; 5000 ab</c:v>
                </c:pt>
                <c:pt idx="1">
                  <c:v>5000 - 15000 ab</c:v>
                </c:pt>
                <c:pt idx="2">
                  <c:v>15000 - 50000 ab</c:v>
                </c:pt>
                <c:pt idx="3">
                  <c:v>50000 - 200000 ab</c:v>
                </c:pt>
                <c:pt idx="4">
                  <c:v>&gt;200000 ab</c:v>
                </c:pt>
              </c:strCache>
            </c:strRef>
          </c:cat>
          <c:val>
            <c:numRef>
              <c:f>Foglio6!$K$4:$K$8</c:f>
              <c:numCache>
                <c:formatCode>0.0%</c:formatCode>
                <c:ptCount val="5"/>
                <c:pt idx="0">
                  <c:v>3.1E-2</c:v>
                </c:pt>
                <c:pt idx="1">
                  <c:v>3.2000000000000001E-2</c:v>
                </c:pt>
                <c:pt idx="2">
                  <c:v>3.3000000000000002E-2</c:v>
                </c:pt>
                <c:pt idx="3">
                  <c:v>3.5000000000000003E-2</c:v>
                </c:pt>
                <c:pt idx="4">
                  <c:v>4.4999999999999998E-2</c:v>
                </c:pt>
              </c:numCache>
            </c:numRef>
          </c:val>
          <c:extLst>
            <c:ext xmlns:c16="http://schemas.microsoft.com/office/drawing/2014/chart" uri="{C3380CC4-5D6E-409C-BE32-E72D297353CC}">
              <c16:uniqueId val="{00000005-64CC-4879-A9FA-0BE51A531301}"/>
            </c:ext>
          </c:extLst>
        </c:ser>
        <c:ser>
          <c:idx val="1"/>
          <c:order val="1"/>
          <c:tx>
            <c:strRef>
              <c:f>Foglio6!$L$3</c:f>
              <c:strCache>
                <c:ptCount val="1"/>
                <c:pt idx="0">
                  <c:v>∆ effettivo</c:v>
                </c:pt>
              </c:strCache>
            </c:strRef>
          </c:tx>
          <c:spPr>
            <a:ln w="28575" cap="rnd">
              <a:solidFill>
                <a:schemeClr val="accent2"/>
              </a:solidFill>
              <a:round/>
            </a:ln>
            <a:effectLst/>
          </c:spPr>
          <c:marker>
            <c:symbol val="none"/>
          </c:marker>
          <c:dLbls>
            <c:dLbl>
              <c:idx val="0"/>
              <c:layout>
                <c:manualLayout>
                  <c:x val="8.3073718876790995E-3"/>
                  <c:y val="0.1300812922721522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64CC-4879-A9FA-0BE51A531301}"/>
                </c:ext>
              </c:extLst>
            </c:dLbl>
            <c:dLbl>
              <c:idx val="1"/>
              <c:layout>
                <c:manualLayout>
                  <c:x val="-0.11353408246494769"/>
                  <c:y val="4.002501300681607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64CC-4879-A9FA-0BE51A531301}"/>
                </c:ext>
              </c:extLst>
            </c:dLbl>
            <c:dLbl>
              <c:idx val="2"/>
              <c:layout>
                <c:manualLayout>
                  <c:x val="-5.8151603213753796E-2"/>
                  <c:y val="-0.1033979502676081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64CC-4879-A9FA-0BE51A531301}"/>
                </c:ext>
              </c:extLst>
            </c:dLbl>
            <c:dLbl>
              <c:idx val="3"/>
              <c:layout>
                <c:manualLayout>
                  <c:x val="7.4766346989111887E-2"/>
                  <c:y val="-8.672086151476815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64CC-4879-A9FA-0BE51A531301}"/>
                </c:ext>
              </c:extLst>
            </c:dLbl>
            <c:dLbl>
              <c:idx val="4"/>
              <c:layout>
                <c:manualLayout>
                  <c:x val="9.9688462652149187E-2"/>
                  <c:y val="3.33541775056799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64CC-4879-A9FA-0BE51A531301}"/>
                </c:ext>
              </c:extLst>
            </c:dLbl>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Foglio6!$J$4:$J$8</c:f>
              <c:strCache>
                <c:ptCount val="5"/>
                <c:pt idx="0">
                  <c:v>&lt; 5000 ab</c:v>
                </c:pt>
                <c:pt idx="1">
                  <c:v>5000 - 15000 ab</c:v>
                </c:pt>
                <c:pt idx="2">
                  <c:v>15000 - 50000 ab</c:v>
                </c:pt>
                <c:pt idx="3">
                  <c:v>50000 - 200000 ab</c:v>
                </c:pt>
                <c:pt idx="4">
                  <c:v>&gt;200000 ab</c:v>
                </c:pt>
              </c:strCache>
            </c:strRef>
          </c:cat>
          <c:val>
            <c:numRef>
              <c:f>Foglio6!$L$4:$L$8</c:f>
              <c:numCache>
                <c:formatCode>0.0%</c:formatCode>
                <c:ptCount val="5"/>
                <c:pt idx="0">
                  <c:v>2.3E-2</c:v>
                </c:pt>
                <c:pt idx="1">
                  <c:v>2.4E-2</c:v>
                </c:pt>
                <c:pt idx="2">
                  <c:v>2.5999999999999999E-2</c:v>
                </c:pt>
                <c:pt idx="3">
                  <c:v>2.1000000000000001E-2</c:v>
                </c:pt>
                <c:pt idx="4">
                  <c:v>1.9E-2</c:v>
                </c:pt>
              </c:numCache>
            </c:numRef>
          </c:val>
          <c:extLst>
            <c:ext xmlns:c16="http://schemas.microsoft.com/office/drawing/2014/chart" uri="{C3380CC4-5D6E-409C-BE32-E72D297353CC}">
              <c16:uniqueId val="{0000000B-64CC-4879-A9FA-0BE51A531301}"/>
            </c:ext>
          </c:extLst>
        </c:ser>
        <c:dLbls>
          <c:showLegendKey val="0"/>
          <c:showVal val="1"/>
          <c:showCatName val="0"/>
          <c:showSerName val="0"/>
          <c:showPercent val="0"/>
          <c:showBubbleSize val="0"/>
        </c:dLbls>
        <c:axId val="1833407007"/>
        <c:axId val="1833404095"/>
      </c:radarChart>
      <c:catAx>
        <c:axId val="18334070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1833404095"/>
        <c:crosses val="autoZero"/>
        <c:auto val="1"/>
        <c:lblAlgn val="ctr"/>
        <c:lblOffset val="100"/>
        <c:noMultiLvlLbl val="0"/>
      </c:catAx>
      <c:valAx>
        <c:axId val="1833404095"/>
        <c:scaling>
          <c:orientation val="minMax"/>
        </c:scaling>
        <c:delete val="1"/>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crossAx val="18334070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5-04-17T20:09:16.306"/>
    </inkml:context>
    <inkml:brush xml:id="br0">
      <inkml:brushProperty name="width" value="0.05" units="cm"/>
      <inkml:brushProperty name="height" value="0.05" units="cm"/>
    </inkml:brush>
  </inkml:definitions>
  <inkml:trace contextRef="#ctx0" brushRef="#br0">103 1 17503 0 0,'0'0'1352'0'0,"-3"0"-873"0"0,-11 0-363 0 0,10 0 153 0 0,-1 0-250 0 0,0 1 0 0 0,0 1-1 0 0,1-1 1 0 0,-1 1 0 0 0,-5 2 0 0 0,6-3-46 0 0,3-1 12 0 0,0 1 0 0 0,0-1 1 0 0,0 0-1 0 0,0 1 1 0 0,0-1-1 0 0,0 0 1 0 0,0 1-1 0 0,1-1 1 0 0,-1 1-1 0 0,0-1 1 0 0,0 1-1 0 0,0 0 1 0 0,1-1-1 0 0,-2 2 1 0 0,2-1 5 0 0,-1-1 0 0 0,1 1 0 0 0,0-1 0 0 0,-1 0 0 0 0,1 1 0 0 0,-1-1 0 0 0,1 0 0 0 0,-1 1 0 0 0,1-1 0 0 0,-1 0 0 0 0,1 0 1 0 0,-1 1-1 0 0,1-1 0 0 0,-1 0 0 0 0,1 0 0 0 0,-1 0 0 0 0,0 0 0 0 0,-1 4-74 0 0,-6 11 3 0 0,7-7-45 0 0,10 34-998 0 0,9 3-630 0 0,1 8 292 0 0,-3 0 0 0 0,12 63 0 0 0,-20-59 949 0 0,-6-26 878 0 0,-1 0 0 0 0,-2 0 0 0 0,-1 0-1 0 0,-1 0 1 0 0,-12 50 0 0 0,-14 59 2681 0 0,16-77-2444 0 0,-20 110 887 0 0,28-144-1419 0 0,3-9-61 0 0,-1 19-30 0 0,3-35-74 0 0,0 0 2 0 0,-1 5 49 0 0,0 3-77 0 0,1 0 0 0 0,0 0 1 0 0,3 16-1 0 0,-2-12 24 0 0,0-8 2 0 0,0 8 8 0 0,-1-10 146 0 0,1 0 1 0 0,-1 0-1 0 0,0 0 0 0 0,-1 0 0 0 0,-1 11 1 0 0,-1-5-39 0 0,3-9 73 0 0,-2 6-102 0 0,1 1-3618 0 0</inkml:trace>
</inkml:ink>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90EB88-6593-445B-8E9B-6FC0BE2DC5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183</TotalTime>
  <Pages>31</Pages>
  <Words>16214</Words>
  <Characters>96314</Characters>
  <Application>Microsoft Office Word</Application>
  <DocSecurity>0</DocSecurity>
  <Lines>1395</Lines>
  <Paragraphs>497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112031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Antonio Massarutto</dc:creator>
  <cp:keywords/>
  <dc:description/>
  <cp:lastModifiedBy>Antonio Massarutto</cp:lastModifiedBy>
  <cp:revision>6</cp:revision>
  <cp:lastPrinted>2025-02-07T09:03:00Z</cp:lastPrinted>
  <dcterms:created xsi:type="dcterms:W3CDTF">2025-05-28T11:53:00Z</dcterms:created>
  <dcterms:modified xsi:type="dcterms:W3CDTF">2025-07-21T10:29:00Z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f8a87378-8f8b-4971-a6f6-825bf42ea4ac</vt:lpwstr>
  </property>
</Properties>
</file>