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2216B" w14:textId="77777777" w:rsidR="00C947BB" w:rsidRDefault="005B5D7B" w:rsidP="00C947BB">
      <w:pPr>
        <w:spacing w:line="360" w:lineRule="auto"/>
        <w:jc w:val="center"/>
        <w:rPr>
          <w:rFonts w:ascii="Times New Roman" w:hAnsi="Times New Roman"/>
          <w:b/>
          <w:i/>
          <w:sz w:val="24"/>
          <w:szCs w:val="24"/>
        </w:rPr>
      </w:pPr>
      <w:bookmarkStart w:id="0" w:name="_GoBack"/>
      <w:bookmarkEnd w:id="0"/>
      <w:r>
        <w:rPr>
          <w:rFonts w:ascii="Times New Roman" w:hAnsi="Times New Roman"/>
          <w:b/>
          <w:i/>
          <w:sz w:val="24"/>
          <w:szCs w:val="24"/>
        </w:rPr>
        <w:t>Fra continuità e cambiamento.</w:t>
      </w:r>
    </w:p>
    <w:p w14:paraId="5A3906F9" w14:textId="77777777" w:rsidR="0063055A" w:rsidRPr="00C947BB" w:rsidRDefault="00141FB9" w:rsidP="00C947BB">
      <w:pPr>
        <w:spacing w:line="360" w:lineRule="auto"/>
        <w:jc w:val="center"/>
        <w:rPr>
          <w:rFonts w:ascii="Times New Roman" w:hAnsi="Times New Roman"/>
          <w:b/>
          <w:i/>
          <w:sz w:val="24"/>
          <w:szCs w:val="24"/>
        </w:rPr>
      </w:pPr>
      <w:r>
        <w:rPr>
          <w:rFonts w:ascii="Times New Roman" w:hAnsi="Times New Roman"/>
          <w:b/>
          <w:i/>
          <w:sz w:val="24"/>
          <w:szCs w:val="24"/>
        </w:rPr>
        <w:t>L’I</w:t>
      </w:r>
      <w:r w:rsidR="00C947BB" w:rsidRPr="00C947BB">
        <w:rPr>
          <w:rFonts w:ascii="Times New Roman" w:hAnsi="Times New Roman"/>
          <w:b/>
          <w:i/>
          <w:sz w:val="24"/>
          <w:szCs w:val="24"/>
        </w:rPr>
        <w:t>mpero degli Asburgo nel secolo delle grandi trasformazioni (1814-1914)</w:t>
      </w:r>
    </w:p>
    <w:p w14:paraId="58CD5719" w14:textId="77777777" w:rsidR="00C947BB" w:rsidRDefault="00C947BB" w:rsidP="008A4A6C">
      <w:pPr>
        <w:spacing w:line="360" w:lineRule="auto"/>
        <w:jc w:val="both"/>
        <w:rPr>
          <w:rFonts w:ascii="Times New Roman" w:hAnsi="Times New Roman"/>
          <w:smallCaps/>
          <w:sz w:val="24"/>
          <w:szCs w:val="24"/>
        </w:rPr>
      </w:pPr>
    </w:p>
    <w:p w14:paraId="58932F59" w14:textId="77777777" w:rsidR="00C947BB" w:rsidRPr="006A410C" w:rsidRDefault="00C947BB" w:rsidP="006D6265">
      <w:pPr>
        <w:pStyle w:val="Testonotaapidipagina"/>
        <w:spacing w:before="100" w:beforeAutospacing="1" w:after="100" w:afterAutospacing="1" w:line="360" w:lineRule="auto"/>
        <w:ind w:right="567"/>
        <w:jc w:val="both"/>
        <w:rPr>
          <w:rFonts w:ascii="Times New Roman" w:hAnsi="Times New Roman"/>
          <w:i/>
          <w:sz w:val="24"/>
          <w:szCs w:val="24"/>
        </w:rPr>
      </w:pPr>
    </w:p>
    <w:p w14:paraId="218C5E4C" w14:textId="1011D174" w:rsidR="005B5D7B" w:rsidRDefault="009577E4" w:rsidP="006D6265">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La storiografia sull’ultimo secolo della</w:t>
      </w:r>
      <w:r w:rsidR="005B5D7B">
        <w:rPr>
          <w:rFonts w:ascii="Times New Roman" w:hAnsi="Times New Roman"/>
          <w:sz w:val="24"/>
          <w:szCs w:val="24"/>
        </w:rPr>
        <w:t xml:space="preserve"> m</w:t>
      </w:r>
      <w:r w:rsidR="00C947BB" w:rsidRPr="006A410C">
        <w:rPr>
          <w:rFonts w:ascii="Times New Roman" w:hAnsi="Times New Roman"/>
          <w:sz w:val="24"/>
          <w:szCs w:val="24"/>
        </w:rPr>
        <w:t xml:space="preserve">onarchia asburgica </w:t>
      </w:r>
      <w:r w:rsidR="00C947BB">
        <w:rPr>
          <w:rFonts w:ascii="Times New Roman" w:hAnsi="Times New Roman"/>
          <w:sz w:val="24"/>
          <w:szCs w:val="24"/>
        </w:rPr>
        <w:t>è comprensibilmente molto ampia per l’importanza del tema e per le sue implicazioni. Abbraccia infatti la storia politica e</w:t>
      </w:r>
      <w:r w:rsidR="005B5D7B">
        <w:rPr>
          <w:rFonts w:ascii="Times New Roman" w:hAnsi="Times New Roman"/>
          <w:sz w:val="24"/>
          <w:szCs w:val="24"/>
        </w:rPr>
        <w:t>d</w:t>
      </w:r>
      <w:r w:rsidR="00C947BB">
        <w:rPr>
          <w:rFonts w:ascii="Times New Roman" w:hAnsi="Times New Roman"/>
          <w:sz w:val="24"/>
          <w:szCs w:val="24"/>
        </w:rPr>
        <w:t xml:space="preserve"> istituzionale dell’Europa centro-orientale, il </w:t>
      </w:r>
      <w:r w:rsidR="00C947BB" w:rsidRPr="006A410C">
        <w:rPr>
          <w:rFonts w:ascii="Times New Roman" w:hAnsi="Times New Roman"/>
          <w:i/>
          <w:sz w:val="24"/>
          <w:szCs w:val="24"/>
        </w:rPr>
        <w:t>Sonderweg</w:t>
      </w:r>
      <w:r w:rsidR="008E0762">
        <w:rPr>
          <w:rFonts w:ascii="Times New Roman" w:hAnsi="Times New Roman"/>
          <w:sz w:val="24"/>
          <w:szCs w:val="24"/>
        </w:rPr>
        <w:t xml:space="preserve"> </w:t>
      </w:r>
      <w:r w:rsidR="00C947BB">
        <w:rPr>
          <w:rFonts w:ascii="Times New Roman" w:hAnsi="Times New Roman"/>
          <w:sz w:val="24"/>
          <w:szCs w:val="24"/>
        </w:rPr>
        <w:t>dell’</w:t>
      </w:r>
      <w:r w:rsidR="005B5D7B">
        <w:rPr>
          <w:rFonts w:ascii="Times New Roman" w:hAnsi="Times New Roman"/>
          <w:sz w:val="24"/>
          <w:szCs w:val="24"/>
        </w:rPr>
        <w:t>altra Euro</w:t>
      </w:r>
      <w:r>
        <w:rPr>
          <w:rFonts w:ascii="Times New Roman" w:hAnsi="Times New Roman"/>
          <w:sz w:val="24"/>
          <w:szCs w:val="24"/>
        </w:rPr>
        <w:t>pa</w:t>
      </w:r>
      <w:r w:rsidR="00C947BB">
        <w:rPr>
          <w:rFonts w:ascii="Times New Roman" w:hAnsi="Times New Roman"/>
          <w:sz w:val="24"/>
          <w:szCs w:val="24"/>
        </w:rPr>
        <w:t xml:space="preserve">, la superiore durata e protratta crisi </w:t>
      </w:r>
      <w:r w:rsidR="00C947BB" w:rsidRPr="009573BB">
        <w:rPr>
          <w:rFonts w:ascii="Times New Roman" w:hAnsi="Times New Roman"/>
          <w:sz w:val="24"/>
          <w:szCs w:val="24"/>
        </w:rPr>
        <w:t>dell’</w:t>
      </w:r>
      <w:r w:rsidR="00C947BB" w:rsidRPr="006A410C">
        <w:rPr>
          <w:rFonts w:ascii="Times New Roman" w:hAnsi="Times New Roman"/>
          <w:i/>
          <w:sz w:val="24"/>
          <w:szCs w:val="24"/>
        </w:rPr>
        <w:t>ancien régime</w:t>
      </w:r>
      <w:r w:rsidR="00C947BB">
        <w:rPr>
          <w:rFonts w:ascii="Times New Roman" w:hAnsi="Times New Roman"/>
          <w:sz w:val="24"/>
          <w:szCs w:val="24"/>
        </w:rPr>
        <w:t xml:space="preserve">, le relazioni internazionali e la politica estera delle </w:t>
      </w:r>
      <w:r w:rsidR="002C4A1F">
        <w:rPr>
          <w:rFonts w:ascii="Times New Roman" w:hAnsi="Times New Roman"/>
          <w:sz w:val="24"/>
          <w:szCs w:val="24"/>
        </w:rPr>
        <w:t>g</w:t>
      </w:r>
      <w:commentRangeStart w:id="1"/>
      <w:commentRangeStart w:id="2"/>
      <w:r w:rsidR="00C947BB">
        <w:rPr>
          <w:rFonts w:ascii="Times New Roman" w:hAnsi="Times New Roman"/>
          <w:sz w:val="24"/>
          <w:szCs w:val="24"/>
        </w:rPr>
        <w:t>r</w:t>
      </w:r>
      <w:r w:rsidR="002C4A1F">
        <w:rPr>
          <w:rFonts w:ascii="Times New Roman" w:hAnsi="Times New Roman"/>
          <w:sz w:val="24"/>
          <w:szCs w:val="24"/>
        </w:rPr>
        <w:t>andi p</w:t>
      </w:r>
      <w:r w:rsidR="00C947BB">
        <w:rPr>
          <w:rFonts w:ascii="Times New Roman" w:hAnsi="Times New Roman"/>
          <w:sz w:val="24"/>
          <w:szCs w:val="24"/>
        </w:rPr>
        <w:t>otenze</w:t>
      </w:r>
      <w:commentRangeEnd w:id="1"/>
      <w:r w:rsidR="005B5D7B">
        <w:rPr>
          <w:rStyle w:val="Rimandocommento"/>
        </w:rPr>
        <w:commentReference w:id="1"/>
      </w:r>
      <w:commentRangeEnd w:id="2"/>
      <w:r w:rsidR="00251414">
        <w:rPr>
          <w:rStyle w:val="Rimandocommento"/>
        </w:rPr>
        <w:commentReference w:id="2"/>
      </w:r>
      <w:r w:rsidR="00C947BB">
        <w:rPr>
          <w:rFonts w:ascii="Times New Roman" w:hAnsi="Times New Roman"/>
          <w:sz w:val="24"/>
          <w:szCs w:val="24"/>
        </w:rPr>
        <w:t xml:space="preserve">, le </w:t>
      </w:r>
      <w:r w:rsidR="00C947BB" w:rsidRPr="002C4A1F">
        <w:rPr>
          <w:rFonts w:ascii="Times New Roman" w:hAnsi="Times New Roman"/>
          <w:sz w:val="24"/>
          <w:szCs w:val="24"/>
        </w:rPr>
        <w:t>questioni</w:t>
      </w:r>
      <w:r w:rsidR="00C947BB">
        <w:rPr>
          <w:rFonts w:ascii="Times New Roman" w:hAnsi="Times New Roman"/>
          <w:sz w:val="24"/>
          <w:szCs w:val="24"/>
        </w:rPr>
        <w:t xml:space="preserve"> conness</w:t>
      </w:r>
      <w:r w:rsidR="005B5D7B">
        <w:rPr>
          <w:rFonts w:ascii="Times New Roman" w:hAnsi="Times New Roman"/>
          <w:sz w:val="24"/>
          <w:szCs w:val="24"/>
        </w:rPr>
        <w:t>e alla modernizzazione politica</w:t>
      </w:r>
      <w:r w:rsidR="00C947BB">
        <w:rPr>
          <w:rFonts w:ascii="Times New Roman" w:hAnsi="Times New Roman"/>
          <w:sz w:val="24"/>
          <w:szCs w:val="24"/>
        </w:rPr>
        <w:t xml:space="preserve"> economica e sociale, l’età delle rivoluzioni borghesi, il trionfo del principio di nazionalità, l’età dell’imperialismo e la </w:t>
      </w:r>
      <w:r w:rsidR="00C947BB" w:rsidRPr="006A410C">
        <w:rPr>
          <w:rFonts w:ascii="Times New Roman" w:hAnsi="Times New Roman"/>
          <w:i/>
          <w:sz w:val="24"/>
          <w:szCs w:val="24"/>
        </w:rPr>
        <w:t>fin de siècle</w:t>
      </w:r>
      <w:r w:rsidR="00C947BB">
        <w:rPr>
          <w:rFonts w:ascii="Times New Roman" w:hAnsi="Times New Roman"/>
          <w:sz w:val="24"/>
          <w:szCs w:val="24"/>
        </w:rPr>
        <w:t>, alla quale si</w:t>
      </w:r>
      <w:r w:rsidR="005453A1">
        <w:rPr>
          <w:rFonts w:ascii="Times New Roman" w:hAnsi="Times New Roman"/>
          <w:sz w:val="24"/>
          <w:szCs w:val="24"/>
        </w:rPr>
        <w:t xml:space="preserve"> lega la nozione più</w:t>
      </w:r>
      <w:r w:rsidR="00C947BB">
        <w:rPr>
          <w:rFonts w:ascii="Times New Roman" w:hAnsi="Times New Roman"/>
          <w:sz w:val="24"/>
          <w:szCs w:val="24"/>
        </w:rPr>
        <w:t xml:space="preserve"> lette</w:t>
      </w:r>
      <w:r w:rsidR="005B5D7B">
        <w:rPr>
          <w:rFonts w:ascii="Times New Roman" w:hAnsi="Times New Roman"/>
          <w:sz w:val="24"/>
          <w:szCs w:val="24"/>
        </w:rPr>
        <w:t>raria che storica di decadenza.</w:t>
      </w:r>
    </w:p>
    <w:p w14:paraId="210A51D8" w14:textId="42FD190A" w:rsidR="005B5D7B" w:rsidRDefault="007E0792" w:rsidP="006D6265">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 xml:space="preserve">Il problema </w:t>
      </w:r>
      <w:r w:rsidR="001E0971">
        <w:rPr>
          <w:rFonts w:ascii="Times New Roman" w:hAnsi="Times New Roman"/>
          <w:sz w:val="24"/>
          <w:szCs w:val="24"/>
        </w:rPr>
        <w:t>centrale</w:t>
      </w:r>
      <w:r w:rsidR="005541EB">
        <w:rPr>
          <w:rFonts w:ascii="Times New Roman" w:hAnsi="Times New Roman"/>
          <w:sz w:val="24"/>
          <w:szCs w:val="24"/>
        </w:rPr>
        <w:t xml:space="preserve"> all’attenzione degli studiosi di storia asburgica nel ‘lungo’ Ottocento </w:t>
      </w:r>
      <w:r w:rsidR="00C947BB">
        <w:rPr>
          <w:rFonts w:ascii="Times New Roman" w:hAnsi="Times New Roman"/>
          <w:sz w:val="24"/>
          <w:szCs w:val="24"/>
        </w:rPr>
        <w:t xml:space="preserve">è </w:t>
      </w:r>
      <w:r w:rsidR="005541EB">
        <w:rPr>
          <w:rFonts w:ascii="Times New Roman" w:hAnsi="Times New Roman"/>
          <w:sz w:val="24"/>
          <w:szCs w:val="24"/>
        </w:rPr>
        <w:t>la riflessione sulla ricerca da parte della monarchia danubiana di una nuova ‘missione’, che ne giustificasse e autolegittimasse la sopravvivenza politica.</w:t>
      </w:r>
      <w:r>
        <w:rPr>
          <w:rFonts w:ascii="Times New Roman" w:hAnsi="Times New Roman"/>
          <w:sz w:val="24"/>
          <w:szCs w:val="24"/>
        </w:rPr>
        <w:t xml:space="preserve"> Il decollo della prima industrializzazione in Inghilterra e l’erompere della</w:t>
      </w:r>
      <w:r w:rsidR="00C947BB">
        <w:rPr>
          <w:rFonts w:ascii="Times New Roman" w:hAnsi="Times New Roman"/>
          <w:sz w:val="24"/>
          <w:szCs w:val="24"/>
        </w:rPr>
        <w:t xml:space="preserve"> </w:t>
      </w:r>
      <w:r w:rsidR="00C947BB" w:rsidRPr="00FA5F36">
        <w:rPr>
          <w:rFonts w:ascii="Times New Roman" w:hAnsi="Times New Roman"/>
          <w:sz w:val="24"/>
          <w:szCs w:val="24"/>
        </w:rPr>
        <w:t>Grande Rivoluzione</w:t>
      </w:r>
      <w:r>
        <w:rPr>
          <w:rFonts w:ascii="Times New Roman" w:hAnsi="Times New Roman"/>
          <w:sz w:val="24"/>
          <w:szCs w:val="24"/>
        </w:rPr>
        <w:t xml:space="preserve"> in Francia </w:t>
      </w:r>
      <w:r w:rsidR="00BA0E15">
        <w:rPr>
          <w:rFonts w:ascii="Times New Roman" w:hAnsi="Times New Roman"/>
          <w:sz w:val="24"/>
          <w:szCs w:val="24"/>
        </w:rPr>
        <w:t>contribuirono a</w:t>
      </w:r>
      <w:r w:rsidR="005B5D7B">
        <w:rPr>
          <w:rFonts w:ascii="Times New Roman" w:hAnsi="Times New Roman"/>
          <w:sz w:val="24"/>
          <w:szCs w:val="24"/>
        </w:rPr>
        <w:t xml:space="preserve"> collocare le m</w:t>
      </w:r>
      <w:r w:rsidR="00C947BB">
        <w:rPr>
          <w:rFonts w:ascii="Times New Roman" w:hAnsi="Times New Roman"/>
          <w:sz w:val="24"/>
          <w:szCs w:val="24"/>
        </w:rPr>
        <w:t>onarchie dell’Europa centrale e</w:t>
      </w:r>
      <w:r w:rsidR="005B5D7B">
        <w:rPr>
          <w:rFonts w:ascii="Times New Roman" w:hAnsi="Times New Roman"/>
          <w:sz w:val="24"/>
          <w:szCs w:val="24"/>
        </w:rPr>
        <w:t>d</w:t>
      </w:r>
      <w:r w:rsidR="00C947BB">
        <w:rPr>
          <w:rFonts w:ascii="Times New Roman" w:hAnsi="Times New Roman"/>
          <w:sz w:val="24"/>
          <w:szCs w:val="24"/>
        </w:rPr>
        <w:t xml:space="preserve"> orientale in due categorie negative: l’anti</w:t>
      </w:r>
      <w:r w:rsidR="005B5D7B">
        <w:rPr>
          <w:rFonts w:ascii="Times New Roman" w:hAnsi="Times New Roman"/>
          <w:sz w:val="24"/>
          <w:szCs w:val="24"/>
        </w:rPr>
        <w:t>-</w:t>
      </w:r>
      <w:r w:rsidR="00C947BB">
        <w:rPr>
          <w:rFonts w:ascii="Times New Roman" w:hAnsi="Times New Roman"/>
          <w:sz w:val="24"/>
          <w:szCs w:val="24"/>
        </w:rPr>
        <w:t>storicità e l’arretratezza, entrambe prefiguranti un inesorab</w:t>
      </w:r>
      <w:r w:rsidR="005B5D7B">
        <w:rPr>
          <w:rFonts w:ascii="Times New Roman" w:hAnsi="Times New Roman"/>
          <w:sz w:val="24"/>
          <w:szCs w:val="24"/>
        </w:rPr>
        <w:t>ile quanto inevitabile declino.</w:t>
      </w:r>
    </w:p>
    <w:p w14:paraId="23F282D8" w14:textId="1BB15346" w:rsidR="00DE56D9" w:rsidRDefault="00FA5F36" w:rsidP="006D6265">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Per gli araldi della moderna nazione</w:t>
      </w:r>
      <w:r w:rsidR="00C947BB">
        <w:rPr>
          <w:rFonts w:ascii="Times New Roman" w:hAnsi="Times New Roman"/>
          <w:sz w:val="24"/>
          <w:szCs w:val="24"/>
        </w:rPr>
        <w:t xml:space="preserve"> e della democrazia liberale Austria, </w:t>
      </w:r>
      <w:r w:rsidR="005B5D7B">
        <w:rPr>
          <w:rFonts w:ascii="Times New Roman" w:hAnsi="Times New Roman"/>
          <w:sz w:val="24"/>
          <w:szCs w:val="24"/>
        </w:rPr>
        <w:t>Russia e Prussia – ciascuna una m</w:t>
      </w:r>
      <w:r>
        <w:rPr>
          <w:rFonts w:ascii="Times New Roman" w:hAnsi="Times New Roman"/>
          <w:sz w:val="24"/>
          <w:szCs w:val="24"/>
        </w:rPr>
        <w:t>onarch</w:t>
      </w:r>
      <w:r w:rsidR="00BA0E15">
        <w:rPr>
          <w:rFonts w:ascii="Times New Roman" w:hAnsi="Times New Roman"/>
          <w:sz w:val="24"/>
          <w:szCs w:val="24"/>
        </w:rPr>
        <w:t>ia di diritto divino i cui sovrani amavano ispirarsi a principi illuministici esercitando il potere</w:t>
      </w:r>
      <w:r w:rsidR="00C947BB">
        <w:rPr>
          <w:rFonts w:ascii="Times New Roman" w:hAnsi="Times New Roman"/>
          <w:sz w:val="24"/>
          <w:szCs w:val="24"/>
        </w:rPr>
        <w:t xml:space="preserve"> in un contes</w:t>
      </w:r>
      <w:r>
        <w:rPr>
          <w:rFonts w:ascii="Times New Roman" w:hAnsi="Times New Roman"/>
          <w:sz w:val="24"/>
          <w:szCs w:val="24"/>
        </w:rPr>
        <w:t>to multietnico e plurilinguistico</w:t>
      </w:r>
      <w:r w:rsidR="00BA0E15">
        <w:rPr>
          <w:rStyle w:val="Rimandonotaapidipagina"/>
          <w:rFonts w:ascii="Times New Roman" w:hAnsi="Times New Roman"/>
          <w:sz w:val="24"/>
          <w:szCs w:val="24"/>
        </w:rPr>
        <w:footnoteReference w:id="1"/>
      </w:r>
      <w:r>
        <w:rPr>
          <w:rFonts w:ascii="Times New Roman" w:hAnsi="Times New Roman"/>
          <w:sz w:val="24"/>
          <w:szCs w:val="24"/>
        </w:rPr>
        <w:t xml:space="preserve"> </w:t>
      </w:r>
      <w:r w:rsidR="005B5D7B">
        <w:rPr>
          <w:rFonts w:ascii="Times New Roman" w:hAnsi="Times New Roman"/>
          <w:sz w:val="24"/>
          <w:szCs w:val="24"/>
        </w:rPr>
        <w:t>–</w:t>
      </w:r>
      <w:r w:rsidR="00C947BB">
        <w:rPr>
          <w:rFonts w:ascii="Times New Roman" w:hAnsi="Times New Roman"/>
          <w:sz w:val="24"/>
          <w:szCs w:val="24"/>
        </w:rPr>
        <w:t xml:space="preserve"> risultavano ormai fuori dal corso progressivo della Storia, così ben id</w:t>
      </w:r>
      <w:r>
        <w:rPr>
          <w:rFonts w:ascii="Times New Roman" w:hAnsi="Times New Roman"/>
          <w:sz w:val="24"/>
          <w:szCs w:val="24"/>
        </w:rPr>
        <w:t>entificato e fatto proprio dal movimento romantico.</w:t>
      </w:r>
    </w:p>
    <w:p w14:paraId="6DCE6532" w14:textId="24DB5DD0" w:rsidR="001811B7" w:rsidRDefault="00CF472B" w:rsidP="00892A24">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Il secolo delle nazioni e delle rivoluzioni</w:t>
      </w:r>
      <w:r w:rsidR="00C947BB">
        <w:rPr>
          <w:rFonts w:ascii="Times New Roman" w:hAnsi="Times New Roman"/>
          <w:sz w:val="24"/>
          <w:szCs w:val="24"/>
        </w:rPr>
        <w:t xml:space="preserve"> borghesi </w:t>
      </w:r>
      <w:r w:rsidR="00DB7239">
        <w:rPr>
          <w:rFonts w:ascii="Times New Roman" w:hAnsi="Times New Roman"/>
          <w:sz w:val="24"/>
          <w:szCs w:val="24"/>
        </w:rPr>
        <w:t>pose infatti in crisi lo Stato</w:t>
      </w:r>
      <w:r w:rsidR="00C947BB">
        <w:rPr>
          <w:rFonts w:ascii="Times New Roman" w:hAnsi="Times New Roman"/>
          <w:sz w:val="24"/>
          <w:szCs w:val="24"/>
        </w:rPr>
        <w:t xml:space="preserve"> imperiale sovranazionale più aggressi</w:t>
      </w:r>
      <w:r w:rsidR="00DB7239">
        <w:rPr>
          <w:rFonts w:ascii="Times New Roman" w:hAnsi="Times New Roman"/>
          <w:sz w:val="24"/>
          <w:szCs w:val="24"/>
        </w:rPr>
        <w:t xml:space="preserve">vamente di quanto potesse fare il </w:t>
      </w:r>
      <w:r>
        <w:rPr>
          <w:rFonts w:ascii="Times New Roman" w:hAnsi="Times New Roman"/>
          <w:sz w:val="24"/>
          <w:szCs w:val="24"/>
        </w:rPr>
        <w:t xml:space="preserve">confronto fra liberalismo </w:t>
      </w:r>
      <w:r w:rsidR="00C947BB">
        <w:rPr>
          <w:rFonts w:ascii="Times New Roman" w:hAnsi="Times New Roman"/>
          <w:sz w:val="24"/>
          <w:szCs w:val="24"/>
        </w:rPr>
        <w:t>e</w:t>
      </w:r>
      <w:r>
        <w:rPr>
          <w:rFonts w:ascii="Times New Roman" w:hAnsi="Times New Roman"/>
          <w:sz w:val="24"/>
          <w:szCs w:val="24"/>
        </w:rPr>
        <w:t xml:space="preserve"> ass</w:t>
      </w:r>
      <w:r w:rsidR="00892A24">
        <w:rPr>
          <w:rFonts w:ascii="Times New Roman" w:hAnsi="Times New Roman"/>
          <w:sz w:val="24"/>
          <w:szCs w:val="24"/>
        </w:rPr>
        <w:t xml:space="preserve">olutismo. </w:t>
      </w:r>
      <w:r w:rsidR="006018C8">
        <w:rPr>
          <w:rFonts w:ascii="Times New Roman" w:hAnsi="Times New Roman"/>
          <w:sz w:val="24"/>
          <w:szCs w:val="24"/>
        </w:rPr>
        <w:t>Per la m</w:t>
      </w:r>
      <w:r w:rsidR="00C947BB">
        <w:rPr>
          <w:rFonts w:ascii="Times New Roman" w:hAnsi="Times New Roman"/>
          <w:sz w:val="24"/>
          <w:szCs w:val="24"/>
        </w:rPr>
        <w:t>onarchia asburgica l</w:t>
      </w:r>
      <w:r w:rsidR="00DB7239">
        <w:rPr>
          <w:rFonts w:ascii="Times New Roman" w:hAnsi="Times New Roman"/>
          <w:sz w:val="24"/>
          <w:szCs w:val="24"/>
        </w:rPr>
        <w:t xml:space="preserve">a miscela di moderno patriottismo </w:t>
      </w:r>
      <w:r w:rsidR="00C947BB">
        <w:rPr>
          <w:rFonts w:ascii="Times New Roman" w:hAnsi="Times New Roman"/>
          <w:sz w:val="24"/>
          <w:szCs w:val="24"/>
        </w:rPr>
        <w:t>e</w:t>
      </w:r>
      <w:r w:rsidR="001811B7">
        <w:rPr>
          <w:rFonts w:ascii="Times New Roman" w:hAnsi="Times New Roman"/>
          <w:sz w:val="24"/>
          <w:szCs w:val="24"/>
        </w:rPr>
        <w:t>d</w:t>
      </w:r>
      <w:r w:rsidR="00C947BB">
        <w:rPr>
          <w:rFonts w:ascii="Times New Roman" w:hAnsi="Times New Roman"/>
          <w:sz w:val="24"/>
          <w:szCs w:val="24"/>
        </w:rPr>
        <w:t xml:space="preserve"> aspirazioni liberali costituì una sfida possente, alla qua</w:t>
      </w:r>
      <w:r w:rsidR="00B76F22">
        <w:rPr>
          <w:rFonts w:ascii="Times New Roman" w:hAnsi="Times New Roman"/>
          <w:sz w:val="24"/>
          <w:szCs w:val="24"/>
        </w:rPr>
        <w:t>le fu costretta</w:t>
      </w:r>
      <w:r w:rsidR="00C947BB">
        <w:rPr>
          <w:rFonts w:ascii="Times New Roman" w:hAnsi="Times New Roman"/>
          <w:sz w:val="24"/>
          <w:szCs w:val="24"/>
        </w:rPr>
        <w:t xml:space="preserve"> a rispondere. Rigettando ogni </w:t>
      </w:r>
      <w:r w:rsidR="00C947BB">
        <w:rPr>
          <w:rFonts w:ascii="Times New Roman" w:hAnsi="Times New Roman"/>
          <w:sz w:val="24"/>
          <w:szCs w:val="24"/>
        </w:rPr>
        <w:lastRenderedPageBreak/>
        <w:t>apriorist</w:t>
      </w:r>
      <w:r w:rsidR="009577E4">
        <w:rPr>
          <w:rFonts w:ascii="Times New Roman" w:hAnsi="Times New Roman"/>
          <w:sz w:val="24"/>
          <w:szCs w:val="24"/>
        </w:rPr>
        <w:t>ica e deterministica nozione di</w:t>
      </w:r>
      <w:r w:rsidR="00C947BB">
        <w:rPr>
          <w:rFonts w:ascii="Times New Roman" w:hAnsi="Times New Roman"/>
          <w:sz w:val="24"/>
          <w:szCs w:val="24"/>
        </w:rPr>
        <w:t xml:space="preserve"> declino, gli storici si inter</w:t>
      </w:r>
      <w:r w:rsidR="00B76F22">
        <w:rPr>
          <w:rFonts w:ascii="Times New Roman" w:hAnsi="Times New Roman"/>
          <w:sz w:val="24"/>
          <w:szCs w:val="24"/>
        </w:rPr>
        <w:t>rogano</w:t>
      </w:r>
      <w:r w:rsidR="009577E4">
        <w:rPr>
          <w:rFonts w:ascii="Times New Roman" w:hAnsi="Times New Roman"/>
          <w:sz w:val="24"/>
          <w:szCs w:val="24"/>
        </w:rPr>
        <w:t xml:space="preserve"> </w:t>
      </w:r>
      <w:r w:rsidR="00C947BB">
        <w:rPr>
          <w:rFonts w:ascii="Times New Roman" w:hAnsi="Times New Roman"/>
          <w:sz w:val="24"/>
          <w:szCs w:val="24"/>
        </w:rPr>
        <w:t xml:space="preserve">sulle </w:t>
      </w:r>
      <w:r w:rsidR="009577E4">
        <w:rPr>
          <w:rFonts w:ascii="Times New Roman" w:hAnsi="Times New Roman"/>
          <w:sz w:val="24"/>
          <w:szCs w:val="24"/>
        </w:rPr>
        <w:t>opzioni a disposizione della</w:t>
      </w:r>
      <w:r w:rsidR="00C947BB">
        <w:rPr>
          <w:rFonts w:ascii="Times New Roman" w:hAnsi="Times New Roman"/>
          <w:sz w:val="24"/>
          <w:szCs w:val="24"/>
        </w:rPr>
        <w:t xml:space="preserve"> classe dirigente</w:t>
      </w:r>
      <w:r w:rsidR="009577E4">
        <w:rPr>
          <w:rFonts w:ascii="Times New Roman" w:hAnsi="Times New Roman"/>
          <w:sz w:val="24"/>
          <w:szCs w:val="24"/>
        </w:rPr>
        <w:t xml:space="preserve"> asburgica</w:t>
      </w:r>
      <w:r w:rsidR="00C947BB">
        <w:rPr>
          <w:rFonts w:ascii="Times New Roman" w:hAnsi="Times New Roman"/>
          <w:sz w:val="24"/>
          <w:szCs w:val="24"/>
        </w:rPr>
        <w:t xml:space="preserve"> pe</w:t>
      </w:r>
      <w:r w:rsidR="009577E4">
        <w:rPr>
          <w:rFonts w:ascii="Times New Roman" w:hAnsi="Times New Roman"/>
          <w:sz w:val="24"/>
          <w:szCs w:val="24"/>
        </w:rPr>
        <w:t>r pr</w:t>
      </w:r>
      <w:r w:rsidR="000D1B1E">
        <w:rPr>
          <w:rFonts w:ascii="Times New Roman" w:hAnsi="Times New Roman"/>
          <w:sz w:val="24"/>
          <w:szCs w:val="24"/>
        </w:rPr>
        <w:t xml:space="preserve">eservare </w:t>
      </w:r>
      <w:r w:rsidR="009577E4">
        <w:rPr>
          <w:rFonts w:ascii="Times New Roman" w:hAnsi="Times New Roman"/>
          <w:sz w:val="24"/>
          <w:szCs w:val="24"/>
        </w:rPr>
        <w:t>la Monarchia</w:t>
      </w:r>
      <w:r w:rsidR="001811B7">
        <w:rPr>
          <w:rFonts w:ascii="Times New Roman" w:hAnsi="Times New Roman"/>
          <w:sz w:val="24"/>
          <w:szCs w:val="24"/>
        </w:rPr>
        <w:t>. Senza indulgere in un’</w:t>
      </w:r>
      <w:r w:rsidR="00DB7239">
        <w:rPr>
          <w:rFonts w:ascii="Times New Roman" w:hAnsi="Times New Roman"/>
          <w:sz w:val="24"/>
          <w:szCs w:val="24"/>
        </w:rPr>
        <w:t>esauriente rassegna</w:t>
      </w:r>
      <w:r w:rsidR="00C947BB">
        <w:rPr>
          <w:rStyle w:val="Rimandonotaapidipagina"/>
          <w:rFonts w:ascii="Times New Roman" w:hAnsi="Times New Roman"/>
          <w:sz w:val="24"/>
          <w:szCs w:val="24"/>
        </w:rPr>
        <w:footnoteReference w:id="2"/>
      </w:r>
      <w:r w:rsidR="00C947BB">
        <w:rPr>
          <w:rFonts w:ascii="Times New Roman" w:hAnsi="Times New Roman"/>
          <w:sz w:val="24"/>
          <w:szCs w:val="24"/>
        </w:rPr>
        <w:t>, vale la pena di segnalare le</w:t>
      </w:r>
      <w:r w:rsidR="001811B7">
        <w:rPr>
          <w:rFonts w:ascii="Times New Roman" w:hAnsi="Times New Roman"/>
          <w:sz w:val="24"/>
          <w:szCs w:val="24"/>
        </w:rPr>
        <w:t xml:space="preserve"> recenti</w:t>
      </w:r>
      <w:r w:rsidR="00C947BB">
        <w:rPr>
          <w:rFonts w:ascii="Times New Roman" w:hAnsi="Times New Roman"/>
          <w:sz w:val="24"/>
          <w:szCs w:val="24"/>
        </w:rPr>
        <w:t xml:space="preserve"> pubblic</w:t>
      </w:r>
      <w:r w:rsidR="005A6D34">
        <w:rPr>
          <w:rFonts w:ascii="Times New Roman" w:hAnsi="Times New Roman"/>
          <w:sz w:val="24"/>
          <w:szCs w:val="24"/>
        </w:rPr>
        <w:t>azioni a carattere monografico.</w:t>
      </w:r>
    </w:p>
    <w:p w14:paraId="220D10DF" w14:textId="61784ED5" w:rsidR="006D6265" w:rsidRDefault="00C947BB" w:rsidP="006D6265">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 xml:space="preserve">Fra tutte continua a costituire un fondamentale punto di riferimento la monumentale </w:t>
      </w:r>
      <w:r>
        <w:rPr>
          <w:rFonts w:ascii="Times New Roman" w:hAnsi="Times New Roman"/>
          <w:i/>
          <w:sz w:val="24"/>
          <w:szCs w:val="24"/>
        </w:rPr>
        <w:t>Die Habsburgerm</w:t>
      </w:r>
      <w:r w:rsidRPr="00E1769E">
        <w:rPr>
          <w:rFonts w:ascii="Times New Roman" w:hAnsi="Times New Roman"/>
          <w:i/>
          <w:sz w:val="24"/>
          <w:szCs w:val="24"/>
        </w:rPr>
        <w:t>onarchie</w:t>
      </w:r>
      <w:r>
        <w:rPr>
          <w:rFonts w:ascii="Times New Roman" w:hAnsi="Times New Roman"/>
          <w:i/>
          <w:sz w:val="24"/>
          <w:szCs w:val="24"/>
        </w:rPr>
        <w:t xml:space="preserve"> 1848-1918</w:t>
      </w:r>
      <w:r>
        <w:rPr>
          <w:rFonts w:ascii="Times New Roman" w:hAnsi="Times New Roman"/>
          <w:sz w:val="24"/>
          <w:szCs w:val="24"/>
        </w:rPr>
        <w:t>, colla</w:t>
      </w:r>
      <w:r w:rsidR="001811B7">
        <w:rPr>
          <w:rFonts w:ascii="Times New Roman" w:hAnsi="Times New Roman"/>
          <w:sz w:val="24"/>
          <w:szCs w:val="24"/>
        </w:rPr>
        <w:t>na inaugurata nel 1973 da</w:t>
      </w:r>
      <w:r>
        <w:rPr>
          <w:rFonts w:ascii="Times New Roman" w:hAnsi="Times New Roman"/>
          <w:sz w:val="24"/>
          <w:szCs w:val="24"/>
        </w:rPr>
        <w:t xml:space="preserve">ll’Accademia Austriaca delle Scienze, di cui ha visto la luce il dodicesimo volume </w:t>
      </w:r>
      <w:commentRangeStart w:id="3"/>
      <w:commentRangeStart w:id="4"/>
      <w:r>
        <w:rPr>
          <w:rFonts w:ascii="Times New Roman" w:hAnsi="Times New Roman"/>
          <w:sz w:val="24"/>
          <w:szCs w:val="24"/>
        </w:rPr>
        <w:t>n</w:t>
      </w:r>
      <w:r w:rsidR="00CF472B">
        <w:rPr>
          <w:rFonts w:ascii="Times New Roman" w:hAnsi="Times New Roman"/>
          <w:sz w:val="24"/>
          <w:szCs w:val="24"/>
        </w:rPr>
        <w:t>el</w:t>
      </w:r>
      <w:r w:rsidR="008228CD">
        <w:rPr>
          <w:rFonts w:ascii="Times New Roman" w:hAnsi="Times New Roman"/>
          <w:sz w:val="24"/>
          <w:szCs w:val="24"/>
        </w:rPr>
        <w:t xml:space="preserve"> gennaio</w:t>
      </w:r>
      <w:r>
        <w:rPr>
          <w:rFonts w:ascii="Times New Roman" w:hAnsi="Times New Roman"/>
          <w:sz w:val="24"/>
          <w:szCs w:val="24"/>
        </w:rPr>
        <w:t xml:space="preserve"> 2018</w:t>
      </w:r>
      <w:commentRangeEnd w:id="3"/>
      <w:r w:rsidR="00D522DD">
        <w:rPr>
          <w:rStyle w:val="Rimandocommento"/>
        </w:rPr>
        <w:commentReference w:id="3"/>
      </w:r>
      <w:commentRangeEnd w:id="4"/>
      <w:r w:rsidR="00251414">
        <w:rPr>
          <w:rStyle w:val="Rimandocommento"/>
        </w:rPr>
        <w:commentReference w:id="4"/>
      </w:r>
      <w:r>
        <w:rPr>
          <w:rStyle w:val="Rimandonotaapidipagina"/>
          <w:rFonts w:ascii="Times New Roman" w:hAnsi="Times New Roman"/>
          <w:sz w:val="24"/>
          <w:szCs w:val="24"/>
        </w:rPr>
        <w:footnoteReference w:id="3"/>
      </w:r>
      <w:r>
        <w:rPr>
          <w:rFonts w:ascii="Times New Roman" w:hAnsi="Times New Roman"/>
          <w:sz w:val="24"/>
          <w:szCs w:val="24"/>
        </w:rPr>
        <w:t>. Le monografie di Marco Bellabarba e Peter M. Judson</w:t>
      </w:r>
      <w:r>
        <w:rPr>
          <w:rStyle w:val="Rimandonotaapidipagina"/>
          <w:rFonts w:ascii="Times New Roman" w:hAnsi="Times New Roman"/>
          <w:sz w:val="24"/>
          <w:szCs w:val="24"/>
        </w:rPr>
        <w:footnoteReference w:id="4"/>
      </w:r>
      <w:r w:rsidR="006D6265">
        <w:rPr>
          <w:rFonts w:ascii="Times New Roman" w:hAnsi="Times New Roman"/>
          <w:sz w:val="24"/>
          <w:szCs w:val="24"/>
        </w:rPr>
        <w:t xml:space="preserve"> – edite</w:t>
      </w:r>
      <w:r>
        <w:rPr>
          <w:rFonts w:ascii="Times New Roman" w:hAnsi="Times New Roman"/>
          <w:sz w:val="24"/>
          <w:szCs w:val="24"/>
        </w:rPr>
        <w:t xml:space="preserve"> risp</w:t>
      </w:r>
      <w:r w:rsidR="006D6265">
        <w:rPr>
          <w:rFonts w:ascii="Times New Roman" w:hAnsi="Times New Roman"/>
          <w:sz w:val="24"/>
          <w:szCs w:val="24"/>
        </w:rPr>
        <w:t>ettivamente nel 2014 e nel 2016 –</w:t>
      </w:r>
      <w:r>
        <w:rPr>
          <w:rFonts w:ascii="Times New Roman" w:hAnsi="Times New Roman"/>
          <w:sz w:val="24"/>
          <w:szCs w:val="24"/>
        </w:rPr>
        <w:t xml:space="preserve"> riuniscono</w:t>
      </w:r>
      <w:r w:rsidR="006D6265">
        <w:rPr>
          <w:rFonts w:ascii="Times New Roman" w:hAnsi="Times New Roman"/>
          <w:sz w:val="24"/>
          <w:szCs w:val="24"/>
        </w:rPr>
        <w:t xml:space="preserve"> invece</w:t>
      </w:r>
      <w:r>
        <w:rPr>
          <w:rFonts w:ascii="Times New Roman" w:hAnsi="Times New Roman"/>
          <w:sz w:val="24"/>
          <w:szCs w:val="24"/>
        </w:rPr>
        <w:t xml:space="preserve"> le </w:t>
      </w:r>
      <w:r w:rsidR="00CF472B">
        <w:rPr>
          <w:rFonts w:ascii="Times New Roman" w:hAnsi="Times New Roman"/>
          <w:sz w:val="24"/>
          <w:szCs w:val="24"/>
        </w:rPr>
        <w:t>considerazioni</w:t>
      </w:r>
      <w:r w:rsidRPr="00CF472B">
        <w:rPr>
          <w:rFonts w:ascii="Times New Roman" w:hAnsi="Times New Roman"/>
          <w:sz w:val="24"/>
          <w:szCs w:val="24"/>
        </w:rPr>
        <w:t xml:space="preserve"> p</w:t>
      </w:r>
      <w:r>
        <w:rPr>
          <w:rFonts w:ascii="Times New Roman" w:hAnsi="Times New Roman"/>
          <w:sz w:val="24"/>
          <w:szCs w:val="24"/>
        </w:rPr>
        <w:t>iù attuali ed emergono da una l</w:t>
      </w:r>
      <w:r w:rsidR="00CC58D6">
        <w:rPr>
          <w:rFonts w:ascii="Times New Roman" w:hAnsi="Times New Roman"/>
          <w:sz w:val="24"/>
          <w:szCs w:val="24"/>
        </w:rPr>
        <w:t>unga tradizione di studi sulla m</w:t>
      </w:r>
      <w:r>
        <w:rPr>
          <w:rFonts w:ascii="Times New Roman" w:hAnsi="Times New Roman"/>
          <w:sz w:val="24"/>
          <w:szCs w:val="24"/>
        </w:rPr>
        <w:t>onarchia degli Asburgo, con il pregio di organizzare il loro discorso non sulle tappe della dissoluzione, ma sulle possibili alternative e sull’intreccio fra continuità e cambiamento</w:t>
      </w:r>
      <w:r w:rsidR="006D6265">
        <w:rPr>
          <w:rFonts w:ascii="Times New Roman" w:hAnsi="Times New Roman"/>
          <w:sz w:val="24"/>
          <w:szCs w:val="24"/>
        </w:rPr>
        <w:t>,</w:t>
      </w:r>
      <w:r>
        <w:rPr>
          <w:rFonts w:ascii="Times New Roman" w:hAnsi="Times New Roman"/>
          <w:sz w:val="24"/>
          <w:szCs w:val="24"/>
        </w:rPr>
        <w:t xml:space="preserve"> partico</w:t>
      </w:r>
      <w:r w:rsidR="005D2887">
        <w:rPr>
          <w:rFonts w:ascii="Times New Roman" w:hAnsi="Times New Roman"/>
          <w:sz w:val="24"/>
          <w:szCs w:val="24"/>
        </w:rPr>
        <w:t>larmente evidente alla</w:t>
      </w:r>
      <w:r>
        <w:rPr>
          <w:rFonts w:ascii="Times New Roman" w:hAnsi="Times New Roman"/>
          <w:sz w:val="24"/>
          <w:szCs w:val="24"/>
        </w:rPr>
        <w:t xml:space="preserve"> ricerca </w:t>
      </w:r>
      <w:r w:rsidRPr="00CF472B">
        <w:rPr>
          <w:rFonts w:ascii="Times New Roman" w:hAnsi="Times New Roman"/>
          <w:sz w:val="24"/>
          <w:szCs w:val="24"/>
        </w:rPr>
        <w:t>storica</w:t>
      </w:r>
      <w:r w:rsidR="00C47F6D">
        <w:rPr>
          <w:rFonts w:ascii="Times New Roman" w:hAnsi="Times New Roman"/>
          <w:sz w:val="24"/>
          <w:szCs w:val="24"/>
        </w:rPr>
        <w:t xml:space="preserve"> libera</w:t>
      </w:r>
      <w:r>
        <w:rPr>
          <w:rFonts w:ascii="Times New Roman" w:hAnsi="Times New Roman"/>
          <w:sz w:val="24"/>
          <w:szCs w:val="24"/>
        </w:rPr>
        <w:t xml:space="preserve"> da </w:t>
      </w:r>
      <w:r w:rsidR="006D6265">
        <w:rPr>
          <w:rFonts w:ascii="Times New Roman" w:hAnsi="Times New Roman"/>
          <w:sz w:val="24"/>
          <w:szCs w:val="24"/>
        </w:rPr>
        <w:t>considerazioni deterministiche.</w:t>
      </w:r>
    </w:p>
    <w:p w14:paraId="62333B4C" w14:textId="77777777" w:rsidR="00AB2620" w:rsidRDefault="00ED35FB" w:rsidP="00AB2620">
      <w:pPr>
        <w:pStyle w:val="Testonotaapidipagina"/>
        <w:spacing w:before="100" w:beforeAutospacing="1" w:after="100" w:afterAutospacing="1" w:line="360" w:lineRule="auto"/>
        <w:ind w:right="567"/>
        <w:jc w:val="both"/>
        <w:rPr>
          <w:rFonts w:ascii="Times New Roman" w:hAnsi="Times New Roman"/>
          <w:i/>
          <w:sz w:val="24"/>
          <w:szCs w:val="24"/>
        </w:rPr>
      </w:pPr>
      <w:r>
        <w:rPr>
          <w:rFonts w:ascii="Times New Roman" w:hAnsi="Times New Roman"/>
          <w:i/>
          <w:sz w:val="24"/>
          <w:szCs w:val="24"/>
        </w:rPr>
        <w:t>Apogeo e declino del</w:t>
      </w:r>
      <w:r w:rsidR="005D2887">
        <w:rPr>
          <w:rFonts w:ascii="Times New Roman" w:hAnsi="Times New Roman"/>
          <w:i/>
          <w:sz w:val="24"/>
          <w:szCs w:val="24"/>
        </w:rPr>
        <w:t>l’assolutismo</w:t>
      </w:r>
      <w:r w:rsidR="009E64AF">
        <w:rPr>
          <w:rFonts w:ascii="Times New Roman" w:hAnsi="Times New Roman"/>
          <w:i/>
          <w:sz w:val="24"/>
          <w:szCs w:val="24"/>
        </w:rPr>
        <w:t xml:space="preserve"> il</w:t>
      </w:r>
      <w:r>
        <w:rPr>
          <w:rFonts w:ascii="Times New Roman" w:hAnsi="Times New Roman"/>
          <w:i/>
          <w:sz w:val="24"/>
          <w:szCs w:val="24"/>
        </w:rPr>
        <w:t>luminato asburgico</w:t>
      </w:r>
      <w:commentRangeStart w:id="5"/>
      <w:commentRangeStart w:id="6"/>
      <w:r w:rsidR="005938F4">
        <w:rPr>
          <w:rFonts w:ascii="Times New Roman" w:hAnsi="Times New Roman"/>
          <w:i/>
          <w:sz w:val="24"/>
          <w:szCs w:val="24"/>
        </w:rPr>
        <w:t xml:space="preserve"> (1740-1815</w:t>
      </w:r>
      <w:r w:rsidR="00C947BB" w:rsidRPr="00D52DFC">
        <w:rPr>
          <w:rFonts w:ascii="Times New Roman" w:hAnsi="Times New Roman"/>
          <w:i/>
          <w:sz w:val="24"/>
          <w:szCs w:val="24"/>
        </w:rPr>
        <w:t>)</w:t>
      </w:r>
      <w:commentRangeEnd w:id="5"/>
      <w:r w:rsidR="00D95675">
        <w:rPr>
          <w:rStyle w:val="Rimandocommento"/>
        </w:rPr>
        <w:commentReference w:id="5"/>
      </w:r>
      <w:commentRangeEnd w:id="6"/>
      <w:r w:rsidR="00464A1E">
        <w:rPr>
          <w:rStyle w:val="Rimandocommento"/>
        </w:rPr>
        <w:commentReference w:id="6"/>
      </w:r>
      <w:r w:rsidR="00C947BB" w:rsidRPr="00D52DFC">
        <w:rPr>
          <w:rFonts w:ascii="Times New Roman" w:hAnsi="Times New Roman"/>
          <w:i/>
          <w:sz w:val="24"/>
          <w:szCs w:val="24"/>
        </w:rPr>
        <w:t xml:space="preserve"> </w:t>
      </w:r>
    </w:p>
    <w:p w14:paraId="0B719511" w14:textId="16101D25" w:rsidR="00E21736" w:rsidRPr="007545BD" w:rsidRDefault="00C947BB" w:rsidP="007D2199">
      <w:pPr>
        <w:pStyle w:val="Testonotaapidipagina"/>
        <w:spacing w:before="100" w:beforeAutospacing="1" w:after="100" w:afterAutospacing="1" w:line="360" w:lineRule="auto"/>
        <w:ind w:right="567"/>
        <w:jc w:val="both"/>
        <w:rPr>
          <w:rFonts w:ascii="Times New Roman" w:hAnsi="Times New Roman"/>
          <w:sz w:val="24"/>
          <w:szCs w:val="24"/>
        </w:rPr>
      </w:pPr>
      <w:r>
        <w:rPr>
          <w:rFonts w:ascii="Times New Roman" w:hAnsi="Times New Roman"/>
          <w:sz w:val="24"/>
          <w:szCs w:val="24"/>
        </w:rPr>
        <w:t>Le riforme in campo amministrativo, militare e culturale dell’età teresiano</w:t>
      </w:r>
      <w:r w:rsidRPr="006A1E4C">
        <w:rPr>
          <w:rFonts w:ascii="Times New Roman" w:hAnsi="Times New Roman"/>
          <w:sz w:val="24"/>
          <w:szCs w:val="24"/>
        </w:rPr>
        <w:t>-</w:t>
      </w:r>
      <w:r w:rsidR="00AB2620">
        <w:rPr>
          <w:rFonts w:ascii="Times New Roman" w:hAnsi="Times New Roman"/>
          <w:sz w:val="24"/>
          <w:szCs w:val="24"/>
        </w:rPr>
        <w:t>giuseppina trasformarono</w:t>
      </w:r>
      <w:r>
        <w:rPr>
          <w:rFonts w:ascii="Times New Roman" w:hAnsi="Times New Roman"/>
          <w:sz w:val="24"/>
          <w:szCs w:val="24"/>
        </w:rPr>
        <w:t xml:space="preserve"> l’agglomerato dei possedimenti originari </w:t>
      </w:r>
      <w:r w:rsidRPr="006A1E4C">
        <w:rPr>
          <w:rFonts w:ascii="Times New Roman" w:hAnsi="Times New Roman"/>
          <w:sz w:val="24"/>
          <w:szCs w:val="24"/>
        </w:rPr>
        <w:t>(</w:t>
      </w:r>
      <w:r w:rsidRPr="009A04F4">
        <w:rPr>
          <w:rFonts w:ascii="Times New Roman" w:hAnsi="Times New Roman"/>
          <w:i/>
          <w:sz w:val="24"/>
          <w:szCs w:val="24"/>
        </w:rPr>
        <w:t>Erbländer</w:t>
      </w:r>
      <w:r w:rsidRPr="006A1E4C">
        <w:rPr>
          <w:rFonts w:ascii="Times New Roman" w:hAnsi="Times New Roman"/>
          <w:sz w:val="24"/>
          <w:szCs w:val="24"/>
        </w:rPr>
        <w:t>)</w:t>
      </w:r>
      <w:r>
        <w:rPr>
          <w:rFonts w:ascii="Times New Roman" w:hAnsi="Times New Roman"/>
          <w:sz w:val="24"/>
          <w:szCs w:val="24"/>
        </w:rPr>
        <w:t xml:space="preserve"> e dei regni </w:t>
      </w:r>
      <w:commentRangeStart w:id="7"/>
      <w:r>
        <w:rPr>
          <w:rFonts w:ascii="Times New Roman" w:hAnsi="Times New Roman"/>
          <w:sz w:val="24"/>
          <w:szCs w:val="24"/>
        </w:rPr>
        <w:t>associati</w:t>
      </w:r>
      <w:commentRangeEnd w:id="7"/>
      <w:r w:rsidR="00E21736">
        <w:rPr>
          <w:rStyle w:val="Rimandocommento"/>
        </w:rPr>
        <w:commentReference w:id="7"/>
      </w:r>
      <w:r>
        <w:rPr>
          <w:rFonts w:ascii="Arial Narrow" w:hAnsi="Arial Narrow"/>
          <w:sz w:val="24"/>
          <w:szCs w:val="24"/>
        </w:rPr>
        <w:t xml:space="preserve"> </w:t>
      </w:r>
      <w:r w:rsidR="003B7924">
        <w:rPr>
          <w:rFonts w:ascii="Times New Roman" w:hAnsi="Times New Roman"/>
          <w:sz w:val="24"/>
          <w:szCs w:val="24"/>
        </w:rPr>
        <w:t>a</w:t>
      </w:r>
      <w:r w:rsidR="00CF472B" w:rsidRPr="00CF472B">
        <w:rPr>
          <w:rFonts w:ascii="Times New Roman" w:hAnsi="Times New Roman"/>
          <w:sz w:val="24"/>
          <w:szCs w:val="24"/>
        </w:rPr>
        <w:t>ll’impero asburgico</w:t>
      </w:r>
      <w:r w:rsidR="00CF472B">
        <w:rPr>
          <w:rFonts w:ascii="Arial Narrow" w:hAnsi="Arial Narrow"/>
          <w:sz w:val="24"/>
          <w:szCs w:val="24"/>
        </w:rPr>
        <w:t xml:space="preserve"> </w:t>
      </w:r>
      <w:r w:rsidR="00E21736">
        <w:rPr>
          <w:rFonts w:ascii="Times New Roman" w:hAnsi="Times New Roman"/>
          <w:sz w:val="24"/>
          <w:szCs w:val="24"/>
        </w:rPr>
        <w:t>in uno Stato moderno, dotato d’</w:t>
      </w:r>
      <w:r w:rsidR="00423FDF">
        <w:rPr>
          <w:rFonts w:ascii="Times New Roman" w:hAnsi="Times New Roman"/>
          <w:sz w:val="24"/>
          <w:szCs w:val="24"/>
        </w:rPr>
        <w:t xml:space="preserve">un sistema burocratico che </w:t>
      </w:r>
      <w:r>
        <w:rPr>
          <w:rFonts w:ascii="Times New Roman" w:hAnsi="Times New Roman"/>
          <w:sz w:val="24"/>
          <w:szCs w:val="24"/>
        </w:rPr>
        <w:t>poteva dirsi ragionevol</w:t>
      </w:r>
      <w:r w:rsidR="004F156E">
        <w:rPr>
          <w:rFonts w:ascii="Times New Roman" w:hAnsi="Times New Roman"/>
          <w:sz w:val="24"/>
          <w:szCs w:val="24"/>
        </w:rPr>
        <w:t xml:space="preserve">mente </w:t>
      </w:r>
      <w:r>
        <w:rPr>
          <w:rFonts w:ascii="Times New Roman" w:hAnsi="Times New Roman"/>
          <w:sz w:val="24"/>
          <w:szCs w:val="24"/>
        </w:rPr>
        <w:t>centralizzato. Questo</w:t>
      </w:r>
      <w:r w:rsidR="00AB2620">
        <w:rPr>
          <w:rFonts w:ascii="Times New Roman" w:hAnsi="Times New Roman"/>
          <w:sz w:val="24"/>
          <w:szCs w:val="24"/>
        </w:rPr>
        <w:t xml:space="preserve"> processo decisivo si svolse</w:t>
      </w:r>
      <w:r>
        <w:rPr>
          <w:rFonts w:ascii="Times New Roman" w:hAnsi="Times New Roman"/>
          <w:sz w:val="24"/>
          <w:szCs w:val="24"/>
        </w:rPr>
        <w:t xml:space="preserve"> n</w:t>
      </w:r>
      <w:r w:rsidR="00102DB8">
        <w:rPr>
          <w:rFonts w:ascii="Times New Roman" w:hAnsi="Times New Roman"/>
          <w:sz w:val="24"/>
          <w:szCs w:val="24"/>
        </w:rPr>
        <w:t>el</w:t>
      </w:r>
      <w:r w:rsidR="005938F4">
        <w:rPr>
          <w:rFonts w:ascii="Times New Roman" w:hAnsi="Times New Roman"/>
          <w:sz w:val="24"/>
          <w:szCs w:val="24"/>
        </w:rPr>
        <w:t xml:space="preserve"> corso </w:t>
      </w:r>
      <w:r w:rsidR="006A24F8">
        <w:rPr>
          <w:rFonts w:ascii="Times New Roman" w:hAnsi="Times New Roman"/>
          <w:sz w:val="24"/>
          <w:szCs w:val="24"/>
        </w:rPr>
        <w:t>dei</w:t>
      </w:r>
      <w:r>
        <w:rPr>
          <w:rFonts w:ascii="Times New Roman" w:hAnsi="Times New Roman"/>
          <w:sz w:val="24"/>
          <w:szCs w:val="24"/>
        </w:rPr>
        <w:t xml:space="preserve"> lunghi e logoranti conflitti</w:t>
      </w:r>
      <w:r w:rsidR="006A24F8">
        <w:rPr>
          <w:rFonts w:ascii="Times New Roman" w:hAnsi="Times New Roman"/>
          <w:sz w:val="24"/>
          <w:szCs w:val="24"/>
        </w:rPr>
        <w:t xml:space="preserve"> settecenteschi</w:t>
      </w:r>
      <w:r>
        <w:rPr>
          <w:rFonts w:ascii="Times New Roman" w:hAnsi="Times New Roman"/>
          <w:sz w:val="24"/>
          <w:szCs w:val="24"/>
        </w:rPr>
        <w:t>, il primo dei quali</w:t>
      </w:r>
      <w:r w:rsidR="006A24F8">
        <w:rPr>
          <w:rFonts w:ascii="Times New Roman" w:hAnsi="Times New Roman"/>
          <w:sz w:val="24"/>
          <w:szCs w:val="24"/>
        </w:rPr>
        <w:t>, la guerra di successione austriaca (1740-1748),</w:t>
      </w:r>
      <w:r>
        <w:rPr>
          <w:rFonts w:ascii="Times New Roman" w:hAnsi="Times New Roman"/>
          <w:sz w:val="24"/>
          <w:szCs w:val="24"/>
        </w:rPr>
        <w:t xml:space="preserve"> aveva messo in serio pericolo l’esistenza stessa del pote</w:t>
      </w:r>
      <w:r w:rsidR="000E398E">
        <w:rPr>
          <w:rFonts w:ascii="Times New Roman" w:hAnsi="Times New Roman"/>
          <w:sz w:val="24"/>
          <w:szCs w:val="24"/>
        </w:rPr>
        <w:t>r</w:t>
      </w:r>
      <w:r w:rsidR="007545BD">
        <w:rPr>
          <w:rFonts w:ascii="Times New Roman" w:hAnsi="Times New Roman"/>
          <w:sz w:val="24"/>
          <w:szCs w:val="24"/>
        </w:rPr>
        <w:t xml:space="preserve">e asburgico in Europa centrale. </w:t>
      </w:r>
      <w:r>
        <w:rPr>
          <w:rFonts w:ascii="Times New Roman" w:hAnsi="Times New Roman"/>
          <w:sz w:val="24"/>
          <w:szCs w:val="24"/>
        </w:rPr>
        <w:t>Un elemento decisivo del</w:t>
      </w:r>
      <w:r w:rsidR="007545BD">
        <w:rPr>
          <w:rFonts w:ascii="Times New Roman" w:hAnsi="Times New Roman"/>
          <w:sz w:val="24"/>
          <w:szCs w:val="24"/>
        </w:rPr>
        <w:t xml:space="preserve"> successo</w:t>
      </w:r>
      <w:r w:rsidR="000E398E">
        <w:rPr>
          <w:rFonts w:ascii="Times New Roman" w:hAnsi="Times New Roman"/>
          <w:sz w:val="24"/>
          <w:szCs w:val="24"/>
        </w:rPr>
        <w:t xml:space="preserve"> nel trasformare il disorganico complesso dei</w:t>
      </w:r>
      <w:r w:rsidR="007545BD">
        <w:rPr>
          <w:rFonts w:ascii="Times New Roman" w:hAnsi="Times New Roman"/>
          <w:sz w:val="24"/>
          <w:szCs w:val="24"/>
        </w:rPr>
        <w:t xml:space="preserve"> domini di Casa d’Austria in</w:t>
      </w:r>
      <w:r w:rsidR="000E398E">
        <w:rPr>
          <w:rFonts w:ascii="Times New Roman" w:hAnsi="Times New Roman"/>
          <w:sz w:val="24"/>
          <w:szCs w:val="24"/>
        </w:rPr>
        <w:t xml:space="preserve"> uno Stato coeso è</w:t>
      </w:r>
      <w:r>
        <w:rPr>
          <w:rFonts w:ascii="Times New Roman" w:hAnsi="Times New Roman"/>
          <w:sz w:val="24"/>
          <w:szCs w:val="24"/>
        </w:rPr>
        <w:t xml:space="preserve"> costituito dalle doti di governo di Maria Teresa e del figlio Giuseppe II, ma non può es</w:t>
      </w:r>
      <w:r w:rsidR="00624452">
        <w:rPr>
          <w:rFonts w:ascii="Times New Roman" w:hAnsi="Times New Roman"/>
          <w:sz w:val="24"/>
          <w:szCs w:val="24"/>
        </w:rPr>
        <w:t xml:space="preserve">sere sottovalutata la funzione </w:t>
      </w:r>
      <w:r w:rsidR="007D2199">
        <w:rPr>
          <w:rFonts w:ascii="Times New Roman" w:hAnsi="Times New Roman"/>
          <w:sz w:val="24"/>
          <w:szCs w:val="24"/>
        </w:rPr>
        <w:t>dei regni associati di</w:t>
      </w:r>
      <w:r>
        <w:rPr>
          <w:rFonts w:ascii="Times New Roman" w:hAnsi="Times New Roman"/>
          <w:sz w:val="24"/>
          <w:szCs w:val="24"/>
        </w:rPr>
        <w:t xml:space="preserve"> Boemia e</w:t>
      </w:r>
      <w:r w:rsidR="007D2199">
        <w:rPr>
          <w:rFonts w:ascii="Times New Roman" w:hAnsi="Times New Roman"/>
          <w:sz w:val="24"/>
          <w:szCs w:val="24"/>
        </w:rPr>
        <w:t xml:space="preserve"> </w:t>
      </w:r>
      <w:r w:rsidR="00B0358C">
        <w:rPr>
          <w:rFonts w:ascii="Times New Roman" w:hAnsi="Times New Roman"/>
          <w:sz w:val="24"/>
          <w:szCs w:val="24"/>
        </w:rPr>
        <w:t>Ungheria.</w:t>
      </w:r>
    </w:p>
    <w:p w14:paraId="3582050B" w14:textId="5C7EE70A" w:rsidR="006A664C" w:rsidRDefault="00C947BB" w:rsidP="00F338B5">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I</w:t>
      </w:r>
      <w:r w:rsidR="00377E7C">
        <w:rPr>
          <w:rFonts w:ascii="Times New Roman" w:hAnsi="Times New Roman"/>
          <w:sz w:val="24"/>
          <w:szCs w:val="24"/>
        </w:rPr>
        <w:t>l nuovo spirito</w:t>
      </w:r>
      <w:r w:rsidR="00454921">
        <w:rPr>
          <w:rFonts w:ascii="Times New Roman" w:hAnsi="Times New Roman"/>
          <w:sz w:val="24"/>
          <w:szCs w:val="24"/>
        </w:rPr>
        <w:t xml:space="preserve"> di collaborazione</w:t>
      </w:r>
      <w:r w:rsidR="005308E7">
        <w:rPr>
          <w:rFonts w:ascii="Times New Roman" w:hAnsi="Times New Roman"/>
          <w:sz w:val="24"/>
          <w:szCs w:val="24"/>
        </w:rPr>
        <w:t xml:space="preserve"> tra i magiari e gli Asburgo </w:t>
      </w:r>
      <w:r w:rsidR="001C1D26">
        <w:rPr>
          <w:rFonts w:ascii="Times New Roman" w:hAnsi="Times New Roman"/>
          <w:sz w:val="24"/>
          <w:szCs w:val="24"/>
        </w:rPr>
        <w:t>–</w:t>
      </w:r>
      <w:r>
        <w:rPr>
          <w:rFonts w:ascii="Times New Roman" w:hAnsi="Times New Roman"/>
          <w:sz w:val="24"/>
          <w:szCs w:val="24"/>
        </w:rPr>
        <w:t xml:space="preserve"> </w:t>
      </w:r>
      <w:commentRangeStart w:id="8"/>
      <w:commentRangeStart w:id="9"/>
      <w:r>
        <w:rPr>
          <w:rFonts w:ascii="Times New Roman" w:hAnsi="Times New Roman"/>
          <w:sz w:val="24"/>
          <w:szCs w:val="24"/>
        </w:rPr>
        <w:t>n</w:t>
      </w:r>
      <w:r w:rsidR="00820050">
        <w:rPr>
          <w:rFonts w:ascii="Times New Roman" w:hAnsi="Times New Roman"/>
          <w:sz w:val="24"/>
          <w:szCs w:val="24"/>
        </w:rPr>
        <w:t>ato dall</w:t>
      </w:r>
      <w:r>
        <w:rPr>
          <w:rFonts w:ascii="Times New Roman" w:hAnsi="Times New Roman"/>
          <w:sz w:val="24"/>
          <w:szCs w:val="24"/>
        </w:rPr>
        <w:t>a necessità</w:t>
      </w:r>
      <w:commentRangeEnd w:id="8"/>
      <w:r w:rsidR="001C1D26">
        <w:rPr>
          <w:rStyle w:val="Rimandocommento"/>
        </w:rPr>
        <w:commentReference w:id="8"/>
      </w:r>
      <w:commentRangeEnd w:id="9"/>
      <w:r w:rsidR="009737B7">
        <w:rPr>
          <w:rStyle w:val="Rimandocommento"/>
        </w:rPr>
        <w:commentReference w:id="9"/>
      </w:r>
      <w:r w:rsidR="00820050">
        <w:rPr>
          <w:rFonts w:ascii="Times New Roman" w:hAnsi="Times New Roman"/>
          <w:sz w:val="24"/>
          <w:szCs w:val="24"/>
        </w:rPr>
        <w:t xml:space="preserve"> di</w:t>
      </w:r>
      <w:r>
        <w:rPr>
          <w:rFonts w:ascii="Times New Roman" w:hAnsi="Times New Roman"/>
          <w:sz w:val="24"/>
          <w:szCs w:val="24"/>
        </w:rPr>
        <w:t xml:space="preserve"> ottenere </w:t>
      </w:r>
      <w:r w:rsidR="00F31FB6">
        <w:rPr>
          <w:rFonts w:ascii="Times New Roman" w:hAnsi="Times New Roman"/>
          <w:sz w:val="24"/>
          <w:szCs w:val="24"/>
        </w:rPr>
        <w:t>l’appoggio</w:t>
      </w:r>
      <w:commentRangeStart w:id="10"/>
      <w:r>
        <w:rPr>
          <w:rFonts w:ascii="Times New Roman" w:hAnsi="Times New Roman"/>
          <w:sz w:val="24"/>
          <w:szCs w:val="24"/>
        </w:rPr>
        <w:t xml:space="preserve"> ungherese</w:t>
      </w:r>
      <w:commentRangeEnd w:id="10"/>
      <w:r w:rsidR="001C1D26">
        <w:rPr>
          <w:rStyle w:val="Rimandocommento"/>
        </w:rPr>
        <w:commentReference w:id="10"/>
      </w:r>
      <w:r w:rsidR="004E4C15">
        <w:rPr>
          <w:rFonts w:ascii="Times New Roman" w:hAnsi="Times New Roman"/>
          <w:sz w:val="24"/>
          <w:szCs w:val="24"/>
        </w:rPr>
        <w:t xml:space="preserve"> per la</w:t>
      </w:r>
      <w:r>
        <w:rPr>
          <w:rFonts w:ascii="Times New Roman" w:hAnsi="Times New Roman"/>
          <w:sz w:val="24"/>
          <w:szCs w:val="24"/>
        </w:rPr>
        <w:t xml:space="preserve"> successione al trono</w:t>
      </w:r>
      <w:r>
        <w:rPr>
          <w:rStyle w:val="Rimandonotaapidipagina"/>
          <w:rFonts w:ascii="Times New Roman" w:hAnsi="Times New Roman"/>
          <w:sz w:val="24"/>
          <w:szCs w:val="24"/>
        </w:rPr>
        <w:footnoteReference w:id="5"/>
      </w:r>
      <w:r w:rsidR="001C1D26">
        <w:rPr>
          <w:rFonts w:ascii="Times New Roman" w:hAnsi="Times New Roman"/>
          <w:sz w:val="24"/>
          <w:szCs w:val="24"/>
        </w:rPr>
        <w:t xml:space="preserve"> –</w:t>
      </w:r>
      <w:r>
        <w:rPr>
          <w:rFonts w:ascii="Times New Roman" w:hAnsi="Times New Roman"/>
          <w:sz w:val="24"/>
          <w:szCs w:val="24"/>
        </w:rPr>
        <w:t xml:space="preserve"> chiuse </w:t>
      </w:r>
      <w:r w:rsidR="00F338B5">
        <w:rPr>
          <w:rFonts w:ascii="Times New Roman" w:hAnsi="Times New Roman"/>
          <w:sz w:val="24"/>
          <w:szCs w:val="24"/>
        </w:rPr>
        <w:t>la</w:t>
      </w:r>
      <w:r w:rsidR="00AB2620">
        <w:rPr>
          <w:rFonts w:ascii="Times New Roman" w:hAnsi="Times New Roman"/>
          <w:sz w:val="24"/>
          <w:szCs w:val="24"/>
        </w:rPr>
        <w:t xml:space="preserve"> lunga stagione di ostilità</w:t>
      </w:r>
      <w:r>
        <w:rPr>
          <w:rFonts w:ascii="Times New Roman" w:hAnsi="Times New Roman"/>
          <w:sz w:val="24"/>
          <w:szCs w:val="24"/>
        </w:rPr>
        <w:t xml:space="preserve"> </w:t>
      </w:r>
      <w:r>
        <w:rPr>
          <w:rFonts w:ascii="Times New Roman" w:hAnsi="Times New Roman"/>
          <w:sz w:val="24"/>
          <w:szCs w:val="24"/>
        </w:rPr>
        <w:lastRenderedPageBreak/>
        <w:t xml:space="preserve">culminata nella </w:t>
      </w:r>
      <w:commentRangeStart w:id="11"/>
      <w:commentRangeStart w:id="12"/>
      <w:r w:rsidRPr="009E4645">
        <w:rPr>
          <w:rFonts w:ascii="Times New Roman" w:hAnsi="Times New Roman"/>
          <w:sz w:val="24"/>
          <w:szCs w:val="24"/>
        </w:rPr>
        <w:t>gu</w:t>
      </w:r>
      <w:r w:rsidR="001C1D26">
        <w:rPr>
          <w:rFonts w:ascii="Times New Roman" w:hAnsi="Times New Roman"/>
          <w:sz w:val="24"/>
          <w:szCs w:val="24"/>
        </w:rPr>
        <w:t>erra d’</w:t>
      </w:r>
      <w:r w:rsidRPr="009E4645">
        <w:rPr>
          <w:rFonts w:ascii="Times New Roman" w:hAnsi="Times New Roman"/>
          <w:sz w:val="24"/>
          <w:szCs w:val="24"/>
        </w:rPr>
        <w:t>indipendenza</w:t>
      </w:r>
      <w:commentRangeEnd w:id="11"/>
      <w:r w:rsidR="001C1D26">
        <w:rPr>
          <w:rStyle w:val="Rimandocommento"/>
        </w:rPr>
        <w:commentReference w:id="11"/>
      </w:r>
      <w:commentRangeEnd w:id="12"/>
      <w:r w:rsidR="009737B7">
        <w:rPr>
          <w:rStyle w:val="Rimandocommento"/>
        </w:rPr>
        <w:commentReference w:id="12"/>
      </w:r>
      <w:r w:rsidRPr="009E4645">
        <w:rPr>
          <w:rFonts w:ascii="Times New Roman" w:hAnsi="Times New Roman"/>
          <w:sz w:val="24"/>
          <w:szCs w:val="24"/>
        </w:rPr>
        <w:t xml:space="preserve"> guidata dal </w:t>
      </w:r>
      <w:r w:rsidR="00F244FC">
        <w:rPr>
          <w:rFonts w:ascii="Times New Roman" w:hAnsi="Times New Roman"/>
          <w:sz w:val="24"/>
          <w:szCs w:val="24"/>
        </w:rPr>
        <w:t>G</w:t>
      </w:r>
      <w:commentRangeStart w:id="13"/>
      <w:commentRangeStart w:id="14"/>
      <w:r w:rsidRPr="009E4645">
        <w:rPr>
          <w:rFonts w:ascii="Times New Roman" w:hAnsi="Times New Roman"/>
          <w:sz w:val="24"/>
          <w:szCs w:val="24"/>
        </w:rPr>
        <w:t>r</w:t>
      </w:r>
      <w:r w:rsidR="00F244FC">
        <w:rPr>
          <w:rFonts w:ascii="Times New Roman" w:hAnsi="Times New Roman"/>
          <w:sz w:val="24"/>
          <w:szCs w:val="24"/>
        </w:rPr>
        <w:t>an P</w:t>
      </w:r>
      <w:r w:rsidRPr="009E4645">
        <w:rPr>
          <w:rFonts w:ascii="Times New Roman" w:hAnsi="Times New Roman"/>
          <w:sz w:val="24"/>
          <w:szCs w:val="24"/>
        </w:rPr>
        <w:t>rincipe di Transilvania</w:t>
      </w:r>
      <w:commentRangeEnd w:id="13"/>
      <w:r w:rsidR="001C1D26">
        <w:rPr>
          <w:rStyle w:val="Rimandocommento"/>
        </w:rPr>
        <w:commentReference w:id="13"/>
      </w:r>
      <w:commentRangeEnd w:id="14"/>
      <w:r w:rsidR="009737B7">
        <w:rPr>
          <w:rStyle w:val="Rimandocommento"/>
        </w:rPr>
        <w:commentReference w:id="14"/>
      </w:r>
      <w:r w:rsidRPr="009E4645">
        <w:rPr>
          <w:rFonts w:ascii="Times New Roman" w:hAnsi="Times New Roman"/>
          <w:sz w:val="24"/>
          <w:szCs w:val="24"/>
        </w:rPr>
        <w:t xml:space="preserve"> Ferenc II Rákóczi</w:t>
      </w:r>
      <w:r w:rsidR="004E4C15">
        <w:rPr>
          <w:rFonts w:ascii="Times New Roman" w:hAnsi="Times New Roman"/>
          <w:sz w:val="24"/>
          <w:szCs w:val="24"/>
        </w:rPr>
        <w:t xml:space="preserve"> (1703-</w:t>
      </w:r>
      <w:r w:rsidR="001C1D26">
        <w:rPr>
          <w:rFonts w:ascii="Times New Roman" w:hAnsi="Times New Roman"/>
          <w:sz w:val="24"/>
          <w:szCs w:val="24"/>
        </w:rPr>
        <w:t>1711</w:t>
      </w:r>
      <w:r w:rsidR="004E4C15">
        <w:rPr>
          <w:rFonts w:ascii="Times New Roman" w:hAnsi="Times New Roman"/>
          <w:sz w:val="24"/>
          <w:szCs w:val="24"/>
        </w:rPr>
        <w:t>)</w:t>
      </w:r>
      <w:r>
        <w:rPr>
          <w:rStyle w:val="Rimandonotaapidipagina"/>
          <w:rFonts w:ascii="Times New Roman" w:hAnsi="Times New Roman"/>
          <w:sz w:val="24"/>
          <w:szCs w:val="24"/>
        </w:rPr>
        <w:footnoteReference w:id="6"/>
      </w:r>
      <w:r>
        <w:rPr>
          <w:rFonts w:ascii="Times New Roman" w:hAnsi="Times New Roman"/>
          <w:sz w:val="24"/>
          <w:szCs w:val="24"/>
        </w:rPr>
        <w:t xml:space="preserve">. </w:t>
      </w:r>
      <w:commentRangeStart w:id="15"/>
      <w:commentRangeStart w:id="16"/>
      <w:r w:rsidR="00F244FC">
        <w:rPr>
          <w:rFonts w:ascii="Times New Roman" w:hAnsi="Times New Roman"/>
          <w:sz w:val="24"/>
          <w:szCs w:val="24"/>
        </w:rPr>
        <w:t>N</w:t>
      </w:r>
      <w:r>
        <w:rPr>
          <w:rFonts w:ascii="Times New Roman" w:hAnsi="Times New Roman"/>
          <w:sz w:val="24"/>
          <w:szCs w:val="24"/>
        </w:rPr>
        <w:t>ei paes</w:t>
      </w:r>
      <w:r w:rsidR="00B72042">
        <w:rPr>
          <w:rFonts w:ascii="Times New Roman" w:hAnsi="Times New Roman"/>
          <w:sz w:val="24"/>
          <w:szCs w:val="24"/>
        </w:rPr>
        <w:t>i della corona di Santo Stefano</w:t>
      </w:r>
      <w:r w:rsidR="001508C7">
        <w:rPr>
          <w:rFonts w:ascii="Times New Roman" w:hAnsi="Times New Roman"/>
          <w:sz w:val="24"/>
          <w:szCs w:val="24"/>
        </w:rPr>
        <w:t xml:space="preserve"> gli Asburgo si avvalsero della collaborazione </w:t>
      </w:r>
      <w:r w:rsidR="00180574">
        <w:rPr>
          <w:rFonts w:ascii="Times New Roman" w:hAnsi="Times New Roman"/>
          <w:sz w:val="24"/>
          <w:szCs w:val="24"/>
        </w:rPr>
        <w:t>di un loro part</w:t>
      </w:r>
      <w:r w:rsidR="00451E97">
        <w:rPr>
          <w:rFonts w:ascii="Times New Roman" w:hAnsi="Times New Roman"/>
          <w:sz w:val="24"/>
          <w:szCs w:val="24"/>
        </w:rPr>
        <w:t xml:space="preserve">ito ungherese, che </w:t>
      </w:r>
      <w:r w:rsidR="00180574">
        <w:rPr>
          <w:rFonts w:ascii="Times New Roman" w:hAnsi="Times New Roman"/>
          <w:sz w:val="24"/>
          <w:szCs w:val="24"/>
        </w:rPr>
        <w:t>evitò</w:t>
      </w:r>
      <w:r w:rsidR="001508C7">
        <w:rPr>
          <w:rFonts w:ascii="Times New Roman" w:hAnsi="Times New Roman"/>
          <w:sz w:val="24"/>
          <w:szCs w:val="24"/>
        </w:rPr>
        <w:t xml:space="preserve"> all’Ungheria il destino della</w:t>
      </w:r>
      <w:r w:rsidR="00844EDE">
        <w:rPr>
          <w:rFonts w:ascii="Times New Roman" w:hAnsi="Times New Roman"/>
          <w:sz w:val="24"/>
          <w:szCs w:val="24"/>
        </w:rPr>
        <w:t xml:space="preserve"> Boemia </w:t>
      </w:r>
      <w:r>
        <w:rPr>
          <w:rFonts w:ascii="Times New Roman" w:hAnsi="Times New Roman"/>
          <w:sz w:val="24"/>
          <w:szCs w:val="24"/>
        </w:rPr>
        <w:t>dopo la b</w:t>
      </w:r>
      <w:r w:rsidR="001C1D26">
        <w:rPr>
          <w:rFonts w:ascii="Times New Roman" w:hAnsi="Times New Roman"/>
          <w:sz w:val="24"/>
          <w:szCs w:val="24"/>
        </w:rPr>
        <w:t xml:space="preserve">attaglia della Montagna Bianca – </w:t>
      </w:r>
      <w:r w:rsidRPr="00A4000B">
        <w:rPr>
          <w:rFonts w:ascii="Times New Roman" w:hAnsi="Times New Roman"/>
          <w:i/>
          <w:sz w:val="24"/>
          <w:szCs w:val="24"/>
        </w:rPr>
        <w:t>Bílá Hora</w:t>
      </w:r>
      <w:r w:rsidR="00A4000B">
        <w:rPr>
          <w:rFonts w:ascii="Times New Roman" w:hAnsi="Times New Roman"/>
          <w:sz w:val="24"/>
          <w:szCs w:val="24"/>
        </w:rPr>
        <w:t xml:space="preserve"> – nel</w:t>
      </w:r>
      <w:r>
        <w:rPr>
          <w:rFonts w:ascii="Times New Roman" w:hAnsi="Times New Roman"/>
          <w:sz w:val="24"/>
          <w:szCs w:val="24"/>
        </w:rPr>
        <w:t xml:space="preserve"> 1620</w:t>
      </w:r>
      <w:commentRangeEnd w:id="15"/>
      <w:r w:rsidR="001C1D26">
        <w:rPr>
          <w:rStyle w:val="Rimandocommento"/>
        </w:rPr>
        <w:commentReference w:id="15"/>
      </w:r>
      <w:commentRangeEnd w:id="16"/>
      <w:r w:rsidR="009737B7">
        <w:rPr>
          <w:rStyle w:val="Rimandocommento"/>
        </w:rPr>
        <w:commentReference w:id="16"/>
      </w:r>
      <w:r w:rsidR="00B72042">
        <w:rPr>
          <w:rFonts w:ascii="Times New Roman" w:hAnsi="Times New Roman"/>
          <w:sz w:val="24"/>
          <w:szCs w:val="24"/>
        </w:rPr>
        <w:t xml:space="preserve">, </w:t>
      </w:r>
      <w:r w:rsidR="001508C7">
        <w:rPr>
          <w:rFonts w:ascii="Times New Roman" w:hAnsi="Times New Roman"/>
          <w:sz w:val="24"/>
          <w:szCs w:val="24"/>
        </w:rPr>
        <w:t>allorché gli Asburgo avevano disperso</w:t>
      </w:r>
      <w:r w:rsidR="00B72042">
        <w:rPr>
          <w:rFonts w:ascii="Times New Roman" w:hAnsi="Times New Roman"/>
          <w:sz w:val="24"/>
          <w:szCs w:val="24"/>
        </w:rPr>
        <w:t xml:space="preserve"> l’aristocrazia </w:t>
      </w:r>
      <w:r w:rsidR="001508C7">
        <w:rPr>
          <w:rFonts w:ascii="Times New Roman" w:hAnsi="Times New Roman"/>
          <w:sz w:val="24"/>
          <w:szCs w:val="24"/>
        </w:rPr>
        <w:t>autoctona insediando al suo posto</w:t>
      </w:r>
      <w:r w:rsidR="00B72042">
        <w:rPr>
          <w:rFonts w:ascii="Times New Roman" w:hAnsi="Times New Roman"/>
          <w:sz w:val="24"/>
          <w:szCs w:val="24"/>
        </w:rPr>
        <w:t xml:space="preserve"> nobili cattolici tedeschi</w:t>
      </w:r>
      <w:r>
        <w:rPr>
          <w:rStyle w:val="Rimandonotaapidipagina"/>
          <w:rFonts w:ascii="Times New Roman" w:hAnsi="Times New Roman"/>
          <w:sz w:val="24"/>
          <w:szCs w:val="24"/>
        </w:rPr>
        <w:footnoteReference w:id="7"/>
      </w:r>
      <w:r w:rsidR="001C1D26">
        <w:rPr>
          <w:rFonts w:ascii="Times New Roman" w:hAnsi="Times New Roman"/>
          <w:sz w:val="24"/>
          <w:szCs w:val="24"/>
        </w:rPr>
        <w:t>.</w:t>
      </w:r>
      <w:r w:rsidR="00F338B5">
        <w:rPr>
          <w:rFonts w:ascii="Times New Roman" w:hAnsi="Times New Roman"/>
          <w:sz w:val="24"/>
          <w:szCs w:val="24"/>
        </w:rPr>
        <w:t xml:space="preserve"> A un secolo dalla pace di Westfalia</w:t>
      </w:r>
      <w:r>
        <w:rPr>
          <w:rFonts w:ascii="Times New Roman" w:hAnsi="Times New Roman"/>
          <w:sz w:val="24"/>
          <w:szCs w:val="24"/>
        </w:rPr>
        <w:t xml:space="preserve">, nel </w:t>
      </w:r>
      <w:r w:rsidR="00844EDE">
        <w:rPr>
          <w:rFonts w:ascii="Times New Roman" w:hAnsi="Times New Roman"/>
          <w:sz w:val="24"/>
          <w:szCs w:val="24"/>
        </w:rPr>
        <w:t>1</w:t>
      </w:r>
      <w:r w:rsidR="001D77BC">
        <w:rPr>
          <w:rFonts w:ascii="Times New Roman" w:hAnsi="Times New Roman"/>
          <w:sz w:val="24"/>
          <w:szCs w:val="24"/>
        </w:rPr>
        <w:t xml:space="preserve">748, </w:t>
      </w:r>
      <w:r w:rsidR="00844EDE">
        <w:rPr>
          <w:rFonts w:ascii="Times New Roman" w:hAnsi="Times New Roman"/>
          <w:sz w:val="24"/>
          <w:szCs w:val="24"/>
        </w:rPr>
        <w:t xml:space="preserve">la nuova </w:t>
      </w:r>
      <w:r w:rsidR="00B72042">
        <w:rPr>
          <w:rFonts w:ascii="Times New Roman" w:hAnsi="Times New Roman"/>
          <w:sz w:val="24"/>
          <w:szCs w:val="24"/>
        </w:rPr>
        <w:t>aristocrazia boema</w:t>
      </w:r>
      <w:r w:rsidR="001D77BC">
        <w:rPr>
          <w:rFonts w:ascii="Times New Roman" w:hAnsi="Times New Roman"/>
          <w:sz w:val="24"/>
          <w:szCs w:val="24"/>
        </w:rPr>
        <w:t xml:space="preserve"> aveva</w:t>
      </w:r>
      <w:r w:rsidR="00F338B5">
        <w:rPr>
          <w:rFonts w:ascii="Times New Roman" w:hAnsi="Times New Roman"/>
          <w:sz w:val="24"/>
          <w:szCs w:val="24"/>
        </w:rPr>
        <w:t xml:space="preserve"> ormai</w:t>
      </w:r>
      <w:r w:rsidR="001D77BC">
        <w:rPr>
          <w:rFonts w:ascii="Times New Roman" w:hAnsi="Times New Roman"/>
          <w:sz w:val="24"/>
          <w:szCs w:val="24"/>
        </w:rPr>
        <w:t xml:space="preserve"> fatto propri </w:t>
      </w:r>
      <w:r>
        <w:rPr>
          <w:rFonts w:ascii="Times New Roman" w:hAnsi="Times New Roman"/>
          <w:sz w:val="24"/>
          <w:szCs w:val="24"/>
        </w:rPr>
        <w:t>gli inte</w:t>
      </w:r>
      <w:r w:rsidR="00844EDE">
        <w:rPr>
          <w:rFonts w:ascii="Times New Roman" w:hAnsi="Times New Roman"/>
          <w:sz w:val="24"/>
          <w:szCs w:val="24"/>
        </w:rPr>
        <w:t>ressi del regno</w:t>
      </w:r>
      <w:r>
        <w:rPr>
          <w:rFonts w:ascii="Times New Roman" w:hAnsi="Times New Roman"/>
          <w:sz w:val="24"/>
          <w:szCs w:val="24"/>
        </w:rPr>
        <w:t xml:space="preserve"> acc</w:t>
      </w:r>
      <w:r w:rsidR="00844EDE">
        <w:rPr>
          <w:rFonts w:ascii="Times New Roman" w:hAnsi="Times New Roman"/>
          <w:sz w:val="24"/>
          <w:szCs w:val="24"/>
        </w:rPr>
        <w:t>anto a quelli della casa d’Austria.</w:t>
      </w:r>
      <w:r w:rsidR="001D77BC">
        <w:rPr>
          <w:rFonts w:ascii="Times New Roman" w:hAnsi="Times New Roman"/>
          <w:sz w:val="24"/>
          <w:szCs w:val="24"/>
        </w:rPr>
        <w:t xml:space="preserve"> </w:t>
      </w:r>
      <w:r w:rsidR="00D403D3">
        <w:rPr>
          <w:rFonts w:ascii="Times New Roman" w:hAnsi="Times New Roman"/>
          <w:sz w:val="24"/>
          <w:szCs w:val="24"/>
        </w:rPr>
        <w:t>Il concorso attivo boemo</w:t>
      </w:r>
      <w:r w:rsidR="00844EDE">
        <w:rPr>
          <w:rFonts w:ascii="Times New Roman" w:hAnsi="Times New Roman"/>
          <w:sz w:val="24"/>
          <w:szCs w:val="24"/>
        </w:rPr>
        <w:t xml:space="preserve"> </w:t>
      </w:r>
      <w:r w:rsidR="005D6BCE">
        <w:rPr>
          <w:rFonts w:ascii="Times New Roman" w:hAnsi="Times New Roman"/>
          <w:sz w:val="24"/>
          <w:szCs w:val="24"/>
        </w:rPr>
        <w:t>salvò il trono asburgico</w:t>
      </w:r>
      <w:r>
        <w:rPr>
          <w:rFonts w:ascii="Times New Roman" w:hAnsi="Times New Roman"/>
          <w:sz w:val="24"/>
          <w:szCs w:val="24"/>
        </w:rPr>
        <w:t xml:space="preserve"> quasi quanto</w:t>
      </w:r>
      <w:r w:rsidR="00B72042">
        <w:rPr>
          <w:rFonts w:ascii="Times New Roman" w:hAnsi="Times New Roman"/>
          <w:sz w:val="24"/>
          <w:szCs w:val="24"/>
        </w:rPr>
        <w:t xml:space="preserve"> quello passivo degli ungheresi, dovuto alla </w:t>
      </w:r>
      <w:r w:rsidR="00844EDE">
        <w:rPr>
          <w:rFonts w:ascii="Times New Roman" w:hAnsi="Times New Roman"/>
          <w:sz w:val="24"/>
          <w:szCs w:val="24"/>
        </w:rPr>
        <w:t>parte</w:t>
      </w:r>
      <w:r>
        <w:rPr>
          <w:rFonts w:ascii="Times New Roman" w:hAnsi="Times New Roman"/>
          <w:sz w:val="24"/>
          <w:szCs w:val="24"/>
        </w:rPr>
        <w:t xml:space="preserve"> dell</w:t>
      </w:r>
      <w:r w:rsidR="001D77BC">
        <w:rPr>
          <w:rFonts w:ascii="Times New Roman" w:hAnsi="Times New Roman"/>
          <w:sz w:val="24"/>
          <w:szCs w:val="24"/>
        </w:rPr>
        <w:t xml:space="preserve">’aristocrazia </w:t>
      </w:r>
      <w:r w:rsidR="00B72042">
        <w:rPr>
          <w:rFonts w:ascii="Times New Roman" w:hAnsi="Times New Roman"/>
          <w:sz w:val="24"/>
          <w:szCs w:val="24"/>
        </w:rPr>
        <w:t>rimasta</w:t>
      </w:r>
      <w:r w:rsidR="00851891">
        <w:rPr>
          <w:rFonts w:ascii="Times New Roman" w:hAnsi="Times New Roman"/>
          <w:sz w:val="24"/>
          <w:szCs w:val="24"/>
        </w:rPr>
        <w:t xml:space="preserve"> risolutamente o</w:t>
      </w:r>
      <w:r w:rsidR="00B72042">
        <w:rPr>
          <w:rFonts w:ascii="Times New Roman" w:hAnsi="Times New Roman"/>
          <w:sz w:val="24"/>
          <w:szCs w:val="24"/>
        </w:rPr>
        <w:t>stile alla</w:t>
      </w:r>
      <w:r w:rsidR="0033360A">
        <w:rPr>
          <w:rFonts w:ascii="Times New Roman" w:hAnsi="Times New Roman"/>
          <w:sz w:val="24"/>
          <w:szCs w:val="24"/>
        </w:rPr>
        <w:t xml:space="preserve"> casa d’Austria</w:t>
      </w:r>
      <w:r w:rsidR="00D403D3">
        <w:rPr>
          <w:rFonts w:ascii="Times New Roman" w:hAnsi="Times New Roman"/>
          <w:sz w:val="24"/>
          <w:szCs w:val="24"/>
        </w:rPr>
        <w:t>: nondimeno,</w:t>
      </w:r>
      <w:r w:rsidR="00E42F8B">
        <w:rPr>
          <w:rFonts w:ascii="Times New Roman" w:hAnsi="Times New Roman"/>
          <w:sz w:val="24"/>
          <w:szCs w:val="24"/>
        </w:rPr>
        <w:t xml:space="preserve"> su alcuni aspetti</w:t>
      </w:r>
      <w:r>
        <w:rPr>
          <w:rFonts w:ascii="Times New Roman" w:hAnsi="Times New Roman"/>
          <w:sz w:val="24"/>
          <w:szCs w:val="24"/>
        </w:rPr>
        <w:t xml:space="preserve"> di cruciale importanza non vi era</w:t>
      </w:r>
      <w:r w:rsidR="00D403D3">
        <w:rPr>
          <w:rFonts w:ascii="Times New Roman" w:hAnsi="Times New Roman"/>
          <w:sz w:val="24"/>
          <w:szCs w:val="24"/>
        </w:rPr>
        <w:t xml:space="preserve"> </w:t>
      </w:r>
      <w:r w:rsidR="0019150D">
        <w:rPr>
          <w:rFonts w:ascii="Times New Roman" w:hAnsi="Times New Roman"/>
          <w:sz w:val="24"/>
          <w:szCs w:val="24"/>
        </w:rPr>
        <w:t>differenza di opinione t</w:t>
      </w:r>
      <w:r w:rsidR="001A08E5">
        <w:rPr>
          <w:rFonts w:ascii="Times New Roman" w:hAnsi="Times New Roman"/>
          <w:sz w:val="24"/>
          <w:szCs w:val="24"/>
        </w:rPr>
        <w:t>ra i</w:t>
      </w:r>
      <w:r w:rsidR="00673033">
        <w:rPr>
          <w:rFonts w:ascii="Times New Roman" w:hAnsi="Times New Roman"/>
          <w:sz w:val="24"/>
          <w:szCs w:val="24"/>
        </w:rPr>
        <w:t xml:space="preserve"> nobili ungheresi</w:t>
      </w:r>
      <w:r w:rsidR="008D1536">
        <w:rPr>
          <w:rFonts w:ascii="Times New Roman" w:hAnsi="Times New Roman"/>
          <w:sz w:val="24"/>
          <w:szCs w:val="24"/>
        </w:rPr>
        <w:t>. La più cosmopolita aristocrazia magnatizia dell’Ungheria occidentale poteva per questo trovare punti di contatto con i grandi nobili transilvani, fieri difensori della propria autonomia. Del pari la numerosa media e piccola nobiltà poteva dividersi a sostegno</w:t>
      </w:r>
      <w:r w:rsidR="001A08E5">
        <w:rPr>
          <w:rFonts w:ascii="Times New Roman" w:hAnsi="Times New Roman"/>
          <w:sz w:val="24"/>
          <w:szCs w:val="24"/>
        </w:rPr>
        <w:t xml:space="preserve"> dei fautori </w:t>
      </w:r>
      <w:r w:rsidR="008D1536">
        <w:rPr>
          <w:rFonts w:ascii="Times New Roman" w:hAnsi="Times New Roman"/>
          <w:sz w:val="24"/>
          <w:szCs w:val="24"/>
        </w:rPr>
        <w:t>o degli irriducibili oppositori</w:t>
      </w:r>
      <w:r w:rsidR="001A08E5">
        <w:rPr>
          <w:rFonts w:ascii="Times New Roman" w:hAnsi="Times New Roman"/>
          <w:sz w:val="24"/>
          <w:szCs w:val="24"/>
        </w:rPr>
        <w:t xml:space="preserve"> degli Asburgo</w:t>
      </w:r>
      <w:r w:rsidR="002148BC">
        <w:rPr>
          <w:rFonts w:ascii="Times New Roman" w:hAnsi="Times New Roman"/>
          <w:sz w:val="24"/>
          <w:szCs w:val="24"/>
        </w:rPr>
        <w:t xml:space="preserve"> </w:t>
      </w:r>
      <w:r w:rsidR="008D1536">
        <w:rPr>
          <w:rFonts w:ascii="Times New Roman" w:hAnsi="Times New Roman"/>
          <w:sz w:val="24"/>
          <w:szCs w:val="24"/>
        </w:rPr>
        <w:t>nelle contee dell’Ungheria orientale e della Transilvania, ma all’occorrenza era pronta ad offrire un fronte compatto se fossero st</w:t>
      </w:r>
      <w:r w:rsidR="00C73FDD">
        <w:rPr>
          <w:rFonts w:ascii="Times New Roman" w:hAnsi="Times New Roman"/>
          <w:sz w:val="24"/>
          <w:szCs w:val="24"/>
        </w:rPr>
        <w:t xml:space="preserve">ate messe in discussione le </w:t>
      </w:r>
      <w:r w:rsidR="008D1536">
        <w:rPr>
          <w:rFonts w:ascii="Times New Roman" w:hAnsi="Times New Roman"/>
          <w:sz w:val="24"/>
          <w:szCs w:val="24"/>
        </w:rPr>
        <w:t>storiche</w:t>
      </w:r>
      <w:r w:rsidR="002C2002">
        <w:rPr>
          <w:rFonts w:ascii="Times New Roman" w:hAnsi="Times New Roman"/>
          <w:sz w:val="24"/>
          <w:szCs w:val="24"/>
        </w:rPr>
        <w:t>, inalienabili</w:t>
      </w:r>
      <w:r w:rsidR="008D1536">
        <w:rPr>
          <w:rFonts w:ascii="Times New Roman" w:hAnsi="Times New Roman"/>
          <w:sz w:val="24"/>
          <w:szCs w:val="24"/>
        </w:rPr>
        <w:t xml:space="preserve"> prerogative nobiliari</w:t>
      </w:r>
      <w:r w:rsidR="008D1536">
        <w:rPr>
          <w:rStyle w:val="Rimandonotaapidipagina"/>
          <w:rFonts w:ascii="Times New Roman" w:hAnsi="Times New Roman"/>
          <w:sz w:val="24"/>
          <w:szCs w:val="24"/>
        </w:rPr>
        <w:footnoteReference w:id="8"/>
      </w:r>
      <w:r w:rsidR="0019150D">
        <w:rPr>
          <w:rFonts w:ascii="Times New Roman" w:hAnsi="Times New Roman"/>
          <w:sz w:val="24"/>
          <w:szCs w:val="24"/>
        </w:rPr>
        <w:t>.</w:t>
      </w:r>
      <w:r w:rsidRPr="00216A21">
        <w:rPr>
          <w:rFonts w:ascii="Times New Roman" w:hAnsi="Times New Roman"/>
          <w:sz w:val="24"/>
          <w:szCs w:val="24"/>
        </w:rPr>
        <w:t xml:space="preserve"> </w:t>
      </w:r>
      <w:r w:rsidR="00264DB0">
        <w:rPr>
          <w:rFonts w:ascii="Times New Roman" w:hAnsi="Times New Roman"/>
          <w:sz w:val="24"/>
          <w:szCs w:val="24"/>
        </w:rPr>
        <w:t xml:space="preserve">Il </w:t>
      </w:r>
      <w:r w:rsidR="00C73FDD">
        <w:rPr>
          <w:rFonts w:ascii="Times New Roman" w:hAnsi="Times New Roman"/>
          <w:sz w:val="24"/>
          <w:szCs w:val="24"/>
        </w:rPr>
        <w:t>primo degli arcana imperii ungheresi</w:t>
      </w:r>
      <w:r>
        <w:rPr>
          <w:rFonts w:ascii="Times New Roman" w:hAnsi="Times New Roman"/>
          <w:sz w:val="24"/>
          <w:szCs w:val="24"/>
        </w:rPr>
        <w:t xml:space="preserve"> era che il regno di Santo Stefano dovesse essere governato secondo le proprie leggi e consuetudini. I</w:t>
      </w:r>
      <w:r w:rsidR="00C73FDD">
        <w:rPr>
          <w:rFonts w:ascii="Times New Roman" w:hAnsi="Times New Roman"/>
          <w:sz w:val="24"/>
          <w:szCs w:val="24"/>
        </w:rPr>
        <w:t>l secondo</w:t>
      </w:r>
      <w:r w:rsidR="00264DB0">
        <w:rPr>
          <w:rFonts w:ascii="Times New Roman" w:hAnsi="Times New Roman"/>
          <w:sz w:val="24"/>
          <w:szCs w:val="24"/>
        </w:rPr>
        <w:t xml:space="preserve"> </w:t>
      </w:r>
      <w:r>
        <w:rPr>
          <w:rFonts w:ascii="Times New Roman" w:hAnsi="Times New Roman"/>
          <w:sz w:val="24"/>
          <w:szCs w:val="24"/>
        </w:rPr>
        <w:t>era</w:t>
      </w:r>
      <w:r w:rsidR="00264DB0">
        <w:rPr>
          <w:rFonts w:ascii="Times New Roman" w:hAnsi="Times New Roman"/>
          <w:sz w:val="24"/>
          <w:szCs w:val="24"/>
        </w:rPr>
        <w:t xml:space="preserve"> la solidarietà politica e sociale dei nobili di</w:t>
      </w:r>
      <w:r w:rsidR="00E42F8B">
        <w:rPr>
          <w:rFonts w:ascii="Times New Roman" w:hAnsi="Times New Roman"/>
          <w:sz w:val="24"/>
          <w:szCs w:val="24"/>
        </w:rPr>
        <w:t>n</w:t>
      </w:r>
      <w:r w:rsidR="00264DB0">
        <w:rPr>
          <w:rFonts w:ascii="Times New Roman" w:hAnsi="Times New Roman"/>
          <w:sz w:val="24"/>
          <w:szCs w:val="24"/>
        </w:rPr>
        <w:t>anzi a rivendicazioni</w:t>
      </w:r>
      <w:r>
        <w:rPr>
          <w:rFonts w:ascii="Times New Roman" w:hAnsi="Times New Roman"/>
          <w:sz w:val="24"/>
          <w:szCs w:val="24"/>
        </w:rPr>
        <w:t xml:space="preserve"> provenient</w:t>
      </w:r>
      <w:r w:rsidR="00264DB0">
        <w:rPr>
          <w:rFonts w:ascii="Times New Roman" w:hAnsi="Times New Roman"/>
          <w:sz w:val="24"/>
          <w:szCs w:val="24"/>
        </w:rPr>
        <w:t>i dalle classi sociali subalterne</w:t>
      </w:r>
      <w:r w:rsidR="00C1309D">
        <w:rPr>
          <w:rFonts w:ascii="Times New Roman" w:hAnsi="Times New Roman"/>
          <w:sz w:val="24"/>
          <w:szCs w:val="24"/>
        </w:rPr>
        <w:t>, nel caso anche dai</w:t>
      </w:r>
      <w:r>
        <w:rPr>
          <w:rFonts w:ascii="Times New Roman" w:hAnsi="Times New Roman"/>
          <w:sz w:val="24"/>
          <w:szCs w:val="24"/>
        </w:rPr>
        <w:t xml:space="preserve"> gruppi etnici privi di rappresentanza politica, come i valacchi di Transilvania</w:t>
      </w:r>
      <w:commentRangeStart w:id="17"/>
      <w:commentRangeStart w:id="18"/>
      <w:r>
        <w:rPr>
          <w:rStyle w:val="Rimandonotaapidipagina"/>
          <w:rFonts w:ascii="Times New Roman" w:hAnsi="Times New Roman"/>
          <w:sz w:val="24"/>
          <w:szCs w:val="24"/>
        </w:rPr>
        <w:footnoteReference w:id="9"/>
      </w:r>
      <w:commentRangeEnd w:id="17"/>
      <w:r w:rsidR="00470A99">
        <w:rPr>
          <w:rStyle w:val="Rimandocommento"/>
        </w:rPr>
        <w:commentReference w:id="17"/>
      </w:r>
      <w:commentRangeEnd w:id="18"/>
      <w:r w:rsidR="009737B7">
        <w:rPr>
          <w:rStyle w:val="Rimandocommento"/>
        </w:rPr>
        <w:commentReference w:id="18"/>
      </w:r>
      <w:r w:rsidR="00534F93">
        <w:rPr>
          <w:rFonts w:ascii="Times New Roman" w:hAnsi="Times New Roman"/>
          <w:sz w:val="24"/>
          <w:szCs w:val="24"/>
        </w:rPr>
        <w:t>. Il terzo assunto</w:t>
      </w:r>
      <w:r w:rsidR="00264DB0">
        <w:rPr>
          <w:rFonts w:ascii="Times New Roman" w:hAnsi="Times New Roman"/>
          <w:sz w:val="24"/>
          <w:szCs w:val="24"/>
        </w:rPr>
        <w:t xml:space="preserve"> </w:t>
      </w:r>
      <w:r>
        <w:rPr>
          <w:rFonts w:ascii="Times New Roman" w:hAnsi="Times New Roman"/>
          <w:sz w:val="24"/>
          <w:szCs w:val="24"/>
        </w:rPr>
        <w:t xml:space="preserve">era l’integrità del </w:t>
      </w:r>
      <w:r w:rsidR="00264DB0">
        <w:rPr>
          <w:rFonts w:ascii="Times New Roman" w:hAnsi="Times New Roman"/>
          <w:sz w:val="24"/>
          <w:szCs w:val="24"/>
        </w:rPr>
        <w:t>regno nei suoi confini storici, un fatto destinato a divenir</w:t>
      </w:r>
      <w:r w:rsidR="004F156E">
        <w:rPr>
          <w:rFonts w:ascii="Times New Roman" w:hAnsi="Times New Roman"/>
          <w:sz w:val="24"/>
          <w:szCs w:val="24"/>
        </w:rPr>
        <w:t>e sempre</w:t>
      </w:r>
      <w:r w:rsidR="00264DB0">
        <w:rPr>
          <w:rFonts w:ascii="Times New Roman" w:hAnsi="Times New Roman"/>
          <w:sz w:val="24"/>
          <w:szCs w:val="24"/>
        </w:rPr>
        <w:t xml:space="preserve"> più importante per i magiari con lo sviluppo dei se</w:t>
      </w:r>
      <w:r w:rsidR="00E42F8B">
        <w:rPr>
          <w:rFonts w:ascii="Times New Roman" w:hAnsi="Times New Roman"/>
          <w:sz w:val="24"/>
          <w:szCs w:val="24"/>
        </w:rPr>
        <w:t>ntimenti nazionali fra le etnie</w:t>
      </w:r>
      <w:r w:rsidR="00C1309D">
        <w:rPr>
          <w:rFonts w:ascii="Times New Roman" w:hAnsi="Times New Roman"/>
          <w:sz w:val="24"/>
          <w:szCs w:val="24"/>
        </w:rPr>
        <w:t xml:space="preserve"> del regno di Santo Stefano</w:t>
      </w:r>
      <w:r w:rsidR="00264DB0">
        <w:rPr>
          <w:rFonts w:ascii="Times New Roman" w:hAnsi="Times New Roman"/>
          <w:sz w:val="24"/>
          <w:szCs w:val="24"/>
        </w:rPr>
        <w:t xml:space="preserve">. </w:t>
      </w:r>
    </w:p>
    <w:p w14:paraId="0534F2AC" w14:textId="33AD0492" w:rsidR="003855C1" w:rsidRDefault="00C947BB" w:rsidP="007647C4">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M</w:t>
      </w:r>
      <w:r w:rsidR="00BB55EB">
        <w:rPr>
          <w:rFonts w:ascii="Times New Roman" w:hAnsi="Times New Roman"/>
          <w:sz w:val="24"/>
          <w:szCs w:val="24"/>
        </w:rPr>
        <w:t>aria Teresa fece concessioni d’</w:t>
      </w:r>
      <w:r>
        <w:rPr>
          <w:rFonts w:ascii="Times New Roman" w:hAnsi="Times New Roman"/>
          <w:sz w:val="24"/>
          <w:szCs w:val="24"/>
        </w:rPr>
        <w:t xml:space="preserve">importanza puramente simbolica, come l’assegnazione del porto di Fiume all’Ungheria, sottraendolo nominalmente al controllo della Dieta croata e </w:t>
      </w:r>
      <w:r>
        <w:rPr>
          <w:rFonts w:ascii="Times New Roman" w:hAnsi="Times New Roman"/>
          <w:sz w:val="24"/>
          <w:szCs w:val="24"/>
        </w:rPr>
        <w:lastRenderedPageBreak/>
        <w:t xml:space="preserve">creando il </w:t>
      </w:r>
      <w:r w:rsidRPr="001D2173">
        <w:rPr>
          <w:rFonts w:ascii="Times New Roman" w:hAnsi="Times New Roman"/>
          <w:i/>
          <w:sz w:val="24"/>
          <w:szCs w:val="24"/>
        </w:rPr>
        <w:t>Corpus Separatum</w:t>
      </w:r>
      <w:r>
        <w:rPr>
          <w:rFonts w:ascii="Times New Roman" w:hAnsi="Times New Roman"/>
          <w:sz w:val="24"/>
          <w:szCs w:val="24"/>
        </w:rPr>
        <w:t xml:space="preserve"> fiumano</w:t>
      </w:r>
      <w:r>
        <w:rPr>
          <w:rStyle w:val="Rimandonotaapidipagina"/>
          <w:rFonts w:ascii="Times New Roman" w:hAnsi="Times New Roman"/>
          <w:sz w:val="24"/>
          <w:szCs w:val="24"/>
        </w:rPr>
        <w:footnoteReference w:id="10"/>
      </w:r>
      <w:r w:rsidR="007647C4">
        <w:rPr>
          <w:rFonts w:ascii="Times New Roman" w:hAnsi="Times New Roman"/>
          <w:sz w:val="24"/>
          <w:szCs w:val="24"/>
        </w:rPr>
        <w:t xml:space="preserve">. </w:t>
      </w:r>
      <w:r>
        <w:rPr>
          <w:rFonts w:ascii="Times New Roman" w:hAnsi="Times New Roman"/>
          <w:sz w:val="24"/>
          <w:szCs w:val="24"/>
        </w:rPr>
        <w:t>Le ambizioni riformatri</w:t>
      </w:r>
      <w:r w:rsidR="00F4206E">
        <w:rPr>
          <w:rFonts w:ascii="Times New Roman" w:hAnsi="Times New Roman"/>
          <w:sz w:val="24"/>
          <w:szCs w:val="24"/>
        </w:rPr>
        <w:t>ci e illuministe dell’imperatore</w:t>
      </w:r>
      <w:r w:rsidR="00A22CAF">
        <w:rPr>
          <w:rFonts w:ascii="Times New Roman" w:hAnsi="Times New Roman"/>
          <w:sz w:val="24"/>
          <w:szCs w:val="24"/>
        </w:rPr>
        <w:t xml:space="preserve"> Giuseppe II –</w:t>
      </w:r>
      <w:r>
        <w:rPr>
          <w:rFonts w:ascii="Times New Roman" w:hAnsi="Times New Roman"/>
          <w:sz w:val="24"/>
          <w:szCs w:val="24"/>
        </w:rPr>
        <w:t xml:space="preserve"> che su molti temi dissentiva dalla più prudente e avveduta gestione materna</w:t>
      </w:r>
      <w:r>
        <w:rPr>
          <w:rStyle w:val="Rimandonotaapidipagina"/>
          <w:rFonts w:ascii="Times New Roman" w:hAnsi="Times New Roman"/>
          <w:sz w:val="24"/>
          <w:szCs w:val="24"/>
        </w:rPr>
        <w:footnoteReference w:id="11"/>
      </w:r>
      <w:r w:rsidR="00A22CAF">
        <w:rPr>
          <w:rFonts w:ascii="Times New Roman" w:hAnsi="Times New Roman"/>
          <w:sz w:val="24"/>
          <w:szCs w:val="24"/>
        </w:rPr>
        <w:t xml:space="preserve"> –</w:t>
      </w:r>
      <w:r w:rsidR="00CC5171">
        <w:rPr>
          <w:rFonts w:ascii="Times New Roman" w:hAnsi="Times New Roman"/>
          <w:sz w:val="24"/>
          <w:szCs w:val="24"/>
        </w:rPr>
        <w:t xml:space="preserve"> incontrarono</w:t>
      </w:r>
      <w:r w:rsidR="006F14EA">
        <w:rPr>
          <w:rFonts w:ascii="Times New Roman" w:hAnsi="Times New Roman"/>
          <w:sz w:val="24"/>
          <w:szCs w:val="24"/>
        </w:rPr>
        <w:t xml:space="preserve"> forti</w:t>
      </w:r>
      <w:r w:rsidR="00CC5171">
        <w:rPr>
          <w:rFonts w:ascii="Times New Roman" w:hAnsi="Times New Roman"/>
          <w:sz w:val="24"/>
          <w:szCs w:val="24"/>
        </w:rPr>
        <w:t xml:space="preserve"> resistenze</w:t>
      </w:r>
      <w:r>
        <w:rPr>
          <w:rFonts w:ascii="Times New Roman" w:hAnsi="Times New Roman"/>
          <w:sz w:val="24"/>
          <w:szCs w:val="24"/>
        </w:rPr>
        <w:t xml:space="preserve"> in Ungheria, in Transilvania e nel nuovo regno associato di Galizia</w:t>
      </w:r>
      <w:r w:rsidR="00EB2312">
        <w:rPr>
          <w:rFonts w:ascii="Times New Roman" w:hAnsi="Times New Roman"/>
          <w:sz w:val="24"/>
          <w:szCs w:val="24"/>
        </w:rPr>
        <w:t>-Lodimiria</w:t>
      </w:r>
      <w:r w:rsidR="0090251E">
        <w:rPr>
          <w:rFonts w:ascii="Times New Roman" w:hAnsi="Times New Roman"/>
          <w:sz w:val="24"/>
          <w:szCs w:val="24"/>
        </w:rPr>
        <w:t>, ottenuto dalle spartizioni polacche del 1772-1775</w:t>
      </w:r>
      <w:r>
        <w:rPr>
          <w:rFonts w:ascii="Times New Roman" w:hAnsi="Times New Roman"/>
          <w:sz w:val="24"/>
          <w:szCs w:val="24"/>
        </w:rPr>
        <w:t>. Area etnicamente varie</w:t>
      </w:r>
      <w:r w:rsidR="00A22CAF">
        <w:rPr>
          <w:rFonts w:ascii="Times New Roman" w:hAnsi="Times New Roman"/>
          <w:sz w:val="24"/>
          <w:szCs w:val="24"/>
        </w:rPr>
        <w:t xml:space="preserve">gata </w:t>
      </w:r>
      <w:r w:rsidR="00006B81">
        <w:rPr>
          <w:rFonts w:ascii="Times New Roman" w:hAnsi="Times New Roman"/>
          <w:sz w:val="24"/>
          <w:szCs w:val="24"/>
        </w:rPr>
        <w:t>per eccellenza,</w:t>
      </w:r>
      <w:r>
        <w:rPr>
          <w:rFonts w:ascii="Times New Roman" w:hAnsi="Times New Roman"/>
          <w:sz w:val="24"/>
          <w:szCs w:val="24"/>
        </w:rPr>
        <w:t xml:space="preserve"> la Galizia era stata o</w:t>
      </w:r>
      <w:r w:rsidR="00FA1795">
        <w:rPr>
          <w:rFonts w:ascii="Times New Roman" w:hAnsi="Times New Roman"/>
          <w:sz w:val="24"/>
          <w:szCs w:val="24"/>
        </w:rPr>
        <w:t>ggetto di articolati</w:t>
      </w:r>
      <w:r w:rsidR="00091D24">
        <w:rPr>
          <w:rFonts w:ascii="Times New Roman" w:hAnsi="Times New Roman"/>
          <w:sz w:val="24"/>
          <w:szCs w:val="24"/>
        </w:rPr>
        <w:t xml:space="preserve"> progetti</w:t>
      </w:r>
      <w:r w:rsidR="00CC5171">
        <w:rPr>
          <w:rFonts w:ascii="Times New Roman" w:hAnsi="Times New Roman"/>
          <w:sz w:val="24"/>
          <w:szCs w:val="24"/>
        </w:rPr>
        <w:t xml:space="preserve"> di</w:t>
      </w:r>
      <w:r>
        <w:rPr>
          <w:rFonts w:ascii="Times New Roman" w:hAnsi="Times New Roman"/>
          <w:sz w:val="24"/>
          <w:szCs w:val="24"/>
        </w:rPr>
        <w:t xml:space="preserve"> riorganizzazione</w:t>
      </w:r>
      <w:r w:rsidR="005C4B0B">
        <w:rPr>
          <w:rFonts w:ascii="Times New Roman" w:hAnsi="Times New Roman"/>
          <w:sz w:val="24"/>
          <w:szCs w:val="24"/>
        </w:rPr>
        <w:t>.</w:t>
      </w:r>
      <w:r w:rsidR="00EE434C">
        <w:rPr>
          <w:rStyle w:val="Rimandonotaapidipagina"/>
          <w:rFonts w:ascii="Times New Roman" w:hAnsi="Times New Roman"/>
          <w:sz w:val="24"/>
          <w:szCs w:val="24"/>
        </w:rPr>
        <w:footnoteReference w:id="12"/>
      </w:r>
      <w:r w:rsidR="00EA57C2">
        <w:rPr>
          <w:rFonts w:ascii="Times New Roman" w:hAnsi="Times New Roman"/>
          <w:sz w:val="24"/>
          <w:szCs w:val="24"/>
        </w:rPr>
        <w:t xml:space="preserve"> In Ungheria Giuseppe II</w:t>
      </w:r>
      <w:r>
        <w:rPr>
          <w:rFonts w:ascii="Times New Roman" w:hAnsi="Times New Roman"/>
          <w:sz w:val="24"/>
          <w:szCs w:val="24"/>
        </w:rPr>
        <w:t xml:space="preserve"> si mise in urto con gli Ordini del regno</w:t>
      </w:r>
      <w:r w:rsidR="00EA57C2">
        <w:rPr>
          <w:rFonts w:ascii="Times New Roman" w:hAnsi="Times New Roman"/>
          <w:sz w:val="24"/>
          <w:szCs w:val="24"/>
        </w:rPr>
        <w:t xml:space="preserve"> rifiutando</w:t>
      </w:r>
      <w:r>
        <w:rPr>
          <w:rFonts w:ascii="Times New Roman" w:hAnsi="Times New Roman"/>
          <w:sz w:val="24"/>
          <w:szCs w:val="24"/>
        </w:rPr>
        <w:t xml:space="preserve"> di farsi incoronare secondo la cerimonia tradizionale. </w:t>
      </w:r>
      <w:r w:rsidR="003855C1">
        <w:rPr>
          <w:rFonts w:ascii="Times New Roman" w:hAnsi="Times New Roman"/>
          <w:sz w:val="24"/>
          <w:szCs w:val="24"/>
        </w:rPr>
        <w:t xml:space="preserve">Soprannominato da allora il re </w:t>
      </w:r>
      <w:r w:rsidR="003855C1" w:rsidRPr="003855C1">
        <w:rPr>
          <w:rFonts w:ascii="Times New Roman" w:hAnsi="Times New Roman"/>
          <w:i/>
          <w:sz w:val="24"/>
          <w:szCs w:val="24"/>
        </w:rPr>
        <w:t>en chapeau</w:t>
      </w:r>
      <w:r w:rsidR="00EA57C2">
        <w:rPr>
          <w:rFonts w:ascii="Times New Roman" w:hAnsi="Times New Roman"/>
          <w:sz w:val="24"/>
          <w:szCs w:val="24"/>
        </w:rPr>
        <w:t>,</w:t>
      </w:r>
      <w:r w:rsidR="00673033">
        <w:rPr>
          <w:rFonts w:ascii="Times New Roman" w:hAnsi="Times New Roman"/>
          <w:sz w:val="24"/>
          <w:szCs w:val="24"/>
        </w:rPr>
        <w:t xml:space="preserve"> cercò</w:t>
      </w:r>
      <w:r>
        <w:rPr>
          <w:rFonts w:ascii="Times New Roman" w:hAnsi="Times New Roman"/>
          <w:sz w:val="24"/>
          <w:szCs w:val="24"/>
        </w:rPr>
        <w:t xml:space="preserve"> appoggio nelle componenti meno favorevoli al dominio dell’aristocrazia nazionale in Ungheria</w:t>
      </w:r>
      <w:commentRangeStart w:id="19"/>
      <w:r>
        <w:rPr>
          <w:rStyle w:val="Rimandonotaapidipagina"/>
          <w:rFonts w:ascii="Times New Roman" w:hAnsi="Times New Roman"/>
          <w:sz w:val="24"/>
          <w:szCs w:val="24"/>
        </w:rPr>
        <w:footnoteReference w:id="13"/>
      </w:r>
      <w:commentRangeEnd w:id="19"/>
      <w:r w:rsidR="003855C1">
        <w:rPr>
          <w:rStyle w:val="Rimandocommento"/>
        </w:rPr>
        <w:commentReference w:id="19"/>
      </w:r>
      <w:r w:rsidR="003855C1">
        <w:rPr>
          <w:rFonts w:ascii="Times New Roman" w:hAnsi="Times New Roman"/>
          <w:sz w:val="24"/>
          <w:szCs w:val="24"/>
        </w:rPr>
        <w:t>.</w:t>
      </w:r>
    </w:p>
    <w:p w14:paraId="5B4E7498" w14:textId="06D6B67A" w:rsidR="005E0560" w:rsidRDefault="00FA1795" w:rsidP="006D6265">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L</w:t>
      </w:r>
      <w:r w:rsidR="00C947BB" w:rsidRPr="00DF075C">
        <w:rPr>
          <w:rFonts w:ascii="Times New Roman" w:hAnsi="Times New Roman"/>
          <w:sz w:val="24"/>
          <w:szCs w:val="24"/>
        </w:rPr>
        <w:t>’erompere della</w:t>
      </w:r>
      <w:r w:rsidR="00C947BB">
        <w:rPr>
          <w:rFonts w:ascii="Times New Roman" w:hAnsi="Times New Roman"/>
          <w:sz w:val="24"/>
          <w:szCs w:val="24"/>
        </w:rPr>
        <w:t xml:space="preserve"> violenta rivolta di Horea-</w:t>
      </w:r>
      <w:r w:rsidR="00C947BB" w:rsidRPr="00612333">
        <w:rPr>
          <w:rFonts w:ascii="Times New Roman" w:hAnsi="Times New Roman"/>
          <w:sz w:val="24"/>
          <w:szCs w:val="24"/>
        </w:rPr>
        <w:t>Cloşca</w:t>
      </w:r>
      <w:r w:rsidR="00C947BB">
        <w:rPr>
          <w:rStyle w:val="Rimandonotaapidipagina"/>
          <w:rFonts w:ascii="Times New Roman" w:hAnsi="Times New Roman"/>
          <w:sz w:val="24"/>
          <w:szCs w:val="24"/>
        </w:rPr>
        <w:footnoteReference w:id="14"/>
      </w:r>
      <w:r w:rsidR="00C7774A">
        <w:rPr>
          <w:rFonts w:ascii="Times New Roman" w:hAnsi="Times New Roman"/>
          <w:sz w:val="24"/>
          <w:szCs w:val="24"/>
        </w:rPr>
        <w:t xml:space="preserve"> in Transilvania</w:t>
      </w:r>
      <w:r w:rsidR="00C947BB">
        <w:rPr>
          <w:rFonts w:ascii="Times New Roman" w:hAnsi="Times New Roman"/>
          <w:sz w:val="24"/>
          <w:szCs w:val="24"/>
        </w:rPr>
        <w:t xml:space="preserve"> nel 1784, ripropose</w:t>
      </w:r>
      <w:r>
        <w:rPr>
          <w:rFonts w:ascii="Times New Roman" w:hAnsi="Times New Roman"/>
          <w:sz w:val="24"/>
          <w:szCs w:val="24"/>
        </w:rPr>
        <w:t xml:space="preserve"> tuttavia</w:t>
      </w:r>
      <w:r w:rsidR="00C947BB">
        <w:rPr>
          <w:rFonts w:ascii="Times New Roman" w:hAnsi="Times New Roman"/>
          <w:sz w:val="24"/>
          <w:szCs w:val="24"/>
        </w:rPr>
        <w:t xml:space="preserve"> la naturale alleanza del re con i suoi nobili</w:t>
      </w:r>
      <w:r w:rsidR="00EA57C2">
        <w:rPr>
          <w:rFonts w:ascii="Times New Roman" w:hAnsi="Times New Roman"/>
          <w:sz w:val="24"/>
          <w:szCs w:val="24"/>
        </w:rPr>
        <w:t>, in questo caso i grandi proprietari te</w:t>
      </w:r>
      <w:r w:rsidR="00F4206E">
        <w:rPr>
          <w:rFonts w:ascii="Times New Roman" w:hAnsi="Times New Roman"/>
          <w:sz w:val="24"/>
          <w:szCs w:val="24"/>
        </w:rPr>
        <w:t>rrieri ungheresi</w:t>
      </w:r>
      <w:r w:rsidR="00EA57C2">
        <w:rPr>
          <w:rFonts w:ascii="Times New Roman" w:hAnsi="Times New Roman"/>
          <w:sz w:val="24"/>
          <w:szCs w:val="24"/>
        </w:rPr>
        <w:t>. L</w:t>
      </w:r>
      <w:r w:rsidR="00C947BB">
        <w:rPr>
          <w:rFonts w:ascii="Times New Roman" w:hAnsi="Times New Roman"/>
          <w:sz w:val="24"/>
          <w:szCs w:val="24"/>
        </w:rPr>
        <w:t>a storiografia nazionale nel secolo successivo attribuì a Giuseppe II il proposito di germanizzare l’Ungheria</w:t>
      </w:r>
      <w:r w:rsidR="0038232B">
        <w:rPr>
          <w:rFonts w:ascii="Times New Roman" w:hAnsi="Times New Roman"/>
          <w:sz w:val="24"/>
          <w:szCs w:val="24"/>
        </w:rPr>
        <w:t>, ma commise l’errore di attribuire all’età gius</w:t>
      </w:r>
      <w:r>
        <w:rPr>
          <w:rFonts w:ascii="Times New Roman" w:hAnsi="Times New Roman"/>
          <w:sz w:val="24"/>
          <w:szCs w:val="24"/>
        </w:rPr>
        <w:t>eppina idee e progetti</w:t>
      </w:r>
      <w:r w:rsidR="0038232B">
        <w:rPr>
          <w:rFonts w:ascii="Times New Roman" w:hAnsi="Times New Roman"/>
          <w:sz w:val="24"/>
          <w:szCs w:val="24"/>
        </w:rPr>
        <w:t xml:space="preserve"> che non le appartenevano.</w:t>
      </w:r>
      <w:r w:rsidR="00C947BB">
        <w:rPr>
          <w:rFonts w:ascii="Times New Roman" w:hAnsi="Times New Roman"/>
          <w:sz w:val="24"/>
          <w:szCs w:val="24"/>
        </w:rPr>
        <w:t xml:space="preserve"> </w:t>
      </w:r>
      <w:r w:rsidR="0038232B">
        <w:rPr>
          <w:rFonts w:ascii="Times New Roman" w:hAnsi="Times New Roman"/>
          <w:sz w:val="24"/>
          <w:szCs w:val="24"/>
        </w:rPr>
        <w:t>P</w:t>
      </w:r>
      <w:r w:rsidR="00C947BB">
        <w:rPr>
          <w:rFonts w:ascii="Times New Roman" w:hAnsi="Times New Roman"/>
          <w:sz w:val="24"/>
          <w:szCs w:val="24"/>
        </w:rPr>
        <w:t xml:space="preserve">er Giuseppe II </w:t>
      </w:r>
      <w:r w:rsidR="0093755E">
        <w:rPr>
          <w:rFonts w:ascii="Times New Roman" w:hAnsi="Times New Roman"/>
          <w:sz w:val="24"/>
          <w:szCs w:val="24"/>
        </w:rPr>
        <w:t>la lingua tedesca</w:t>
      </w:r>
      <w:r w:rsidR="0038232B">
        <w:rPr>
          <w:rFonts w:ascii="Times New Roman" w:hAnsi="Times New Roman"/>
          <w:sz w:val="24"/>
          <w:szCs w:val="24"/>
        </w:rPr>
        <w:t xml:space="preserve"> aveva il pregio</w:t>
      </w:r>
      <w:r w:rsidR="0093755E">
        <w:rPr>
          <w:rFonts w:ascii="Times New Roman" w:hAnsi="Times New Roman"/>
          <w:sz w:val="24"/>
          <w:szCs w:val="24"/>
        </w:rPr>
        <w:t xml:space="preserve"> di essere</w:t>
      </w:r>
      <w:r w:rsidR="00AB3122">
        <w:rPr>
          <w:rFonts w:ascii="Times New Roman" w:hAnsi="Times New Roman"/>
          <w:sz w:val="24"/>
          <w:szCs w:val="24"/>
        </w:rPr>
        <w:t xml:space="preserve"> moderna</w:t>
      </w:r>
      <w:r w:rsidR="005E0560">
        <w:rPr>
          <w:rFonts w:ascii="Times New Roman" w:hAnsi="Times New Roman"/>
          <w:sz w:val="24"/>
          <w:szCs w:val="24"/>
        </w:rPr>
        <w:t>, con il vantaggio d’</w:t>
      </w:r>
      <w:r w:rsidR="00C947BB">
        <w:rPr>
          <w:rFonts w:ascii="Times New Roman" w:hAnsi="Times New Roman"/>
          <w:sz w:val="24"/>
          <w:szCs w:val="24"/>
        </w:rPr>
        <w:t xml:space="preserve">una tradizione consolidata nell’uso </w:t>
      </w:r>
      <w:r w:rsidR="00AB3122">
        <w:rPr>
          <w:rFonts w:ascii="Times New Roman" w:hAnsi="Times New Roman"/>
          <w:sz w:val="24"/>
          <w:szCs w:val="24"/>
        </w:rPr>
        <w:t>pubblico e</w:t>
      </w:r>
      <w:r w:rsidR="00C947BB">
        <w:rPr>
          <w:rFonts w:ascii="Times New Roman" w:hAnsi="Times New Roman"/>
          <w:sz w:val="24"/>
          <w:szCs w:val="24"/>
        </w:rPr>
        <w:t xml:space="preserve"> un lessico politico, a</w:t>
      </w:r>
      <w:r w:rsidR="005D2887">
        <w:rPr>
          <w:rFonts w:ascii="Times New Roman" w:hAnsi="Times New Roman"/>
          <w:sz w:val="24"/>
          <w:szCs w:val="24"/>
        </w:rPr>
        <w:t xml:space="preserve">mministrativo e militare. Molti notabili </w:t>
      </w:r>
      <w:r w:rsidR="00C947BB">
        <w:rPr>
          <w:rFonts w:ascii="Times New Roman" w:hAnsi="Times New Roman"/>
          <w:sz w:val="24"/>
          <w:szCs w:val="24"/>
        </w:rPr>
        <w:t>ungheresi accolsero</w:t>
      </w:r>
      <w:r>
        <w:rPr>
          <w:rFonts w:ascii="Times New Roman" w:hAnsi="Times New Roman"/>
          <w:sz w:val="24"/>
          <w:szCs w:val="24"/>
        </w:rPr>
        <w:t xml:space="preserve"> favorevolmente</w:t>
      </w:r>
      <w:r w:rsidR="00C947BB">
        <w:rPr>
          <w:rFonts w:ascii="Times New Roman" w:hAnsi="Times New Roman"/>
          <w:sz w:val="24"/>
          <w:szCs w:val="24"/>
        </w:rPr>
        <w:t xml:space="preserve"> la graduale sostituzione del latino co</w:t>
      </w:r>
      <w:r w:rsidR="005D2887">
        <w:rPr>
          <w:rFonts w:ascii="Times New Roman" w:hAnsi="Times New Roman"/>
          <w:sz w:val="24"/>
          <w:szCs w:val="24"/>
        </w:rPr>
        <w:t>n il tedesco, nella Dieta e nella burocrazia</w:t>
      </w:r>
      <w:r w:rsidR="00C947BB">
        <w:rPr>
          <w:rStyle w:val="Rimandonotaapidipagina"/>
          <w:rFonts w:ascii="Times New Roman" w:hAnsi="Times New Roman"/>
          <w:sz w:val="24"/>
          <w:szCs w:val="24"/>
        </w:rPr>
        <w:footnoteReference w:id="15"/>
      </w:r>
      <w:r w:rsidR="00C947BB">
        <w:rPr>
          <w:rFonts w:ascii="Times New Roman" w:hAnsi="Times New Roman"/>
          <w:sz w:val="24"/>
          <w:szCs w:val="24"/>
        </w:rPr>
        <w:t>. Alla morte di Giusep</w:t>
      </w:r>
      <w:r w:rsidR="00E73BBF">
        <w:rPr>
          <w:rFonts w:ascii="Times New Roman" w:hAnsi="Times New Roman"/>
          <w:sz w:val="24"/>
          <w:szCs w:val="24"/>
        </w:rPr>
        <w:t xml:space="preserve">pe </w:t>
      </w:r>
      <w:r w:rsidR="00E73BBF">
        <w:rPr>
          <w:rFonts w:ascii="Times New Roman" w:hAnsi="Times New Roman"/>
          <w:sz w:val="24"/>
          <w:szCs w:val="24"/>
        </w:rPr>
        <w:lastRenderedPageBreak/>
        <w:t xml:space="preserve">II, il successore </w:t>
      </w:r>
      <w:r w:rsidR="00C947BB">
        <w:rPr>
          <w:rFonts w:ascii="Times New Roman" w:hAnsi="Times New Roman"/>
          <w:sz w:val="24"/>
          <w:szCs w:val="24"/>
        </w:rPr>
        <w:t>Leopoldo II e il figlio di q</w:t>
      </w:r>
      <w:r w:rsidR="003352D3">
        <w:rPr>
          <w:rFonts w:ascii="Times New Roman" w:hAnsi="Times New Roman"/>
          <w:sz w:val="24"/>
          <w:szCs w:val="24"/>
        </w:rPr>
        <w:t>uesti Francesco II, incoronato R</w:t>
      </w:r>
      <w:r w:rsidR="00C947BB">
        <w:rPr>
          <w:rFonts w:ascii="Times New Roman" w:hAnsi="Times New Roman"/>
          <w:sz w:val="24"/>
          <w:szCs w:val="24"/>
        </w:rPr>
        <w:t>e d’Ungheria il 6 giugno 17</w:t>
      </w:r>
      <w:r w:rsidR="00D4327F">
        <w:rPr>
          <w:rFonts w:ascii="Times New Roman" w:hAnsi="Times New Roman"/>
          <w:sz w:val="24"/>
          <w:szCs w:val="24"/>
        </w:rPr>
        <w:t xml:space="preserve">92, tornarono ad una politica conciliante </w:t>
      </w:r>
      <w:r w:rsidR="007647C4">
        <w:rPr>
          <w:rFonts w:ascii="Times New Roman" w:hAnsi="Times New Roman"/>
          <w:sz w:val="24"/>
          <w:szCs w:val="24"/>
        </w:rPr>
        <w:t xml:space="preserve">con gli </w:t>
      </w:r>
      <w:r w:rsidR="00A84B74">
        <w:rPr>
          <w:rFonts w:ascii="Times New Roman" w:hAnsi="Times New Roman"/>
          <w:sz w:val="24"/>
          <w:szCs w:val="24"/>
        </w:rPr>
        <w:t>ungheresi</w:t>
      </w:r>
      <w:r w:rsidR="00C947BB">
        <w:rPr>
          <w:rStyle w:val="Rimandonotaapidipagina"/>
          <w:rFonts w:ascii="Times New Roman" w:hAnsi="Times New Roman"/>
          <w:sz w:val="24"/>
          <w:szCs w:val="24"/>
        </w:rPr>
        <w:footnoteReference w:id="16"/>
      </w:r>
      <w:r w:rsidR="005E0560">
        <w:rPr>
          <w:rFonts w:ascii="Times New Roman" w:hAnsi="Times New Roman"/>
          <w:sz w:val="24"/>
          <w:szCs w:val="24"/>
        </w:rPr>
        <w:t>.</w:t>
      </w:r>
    </w:p>
    <w:p w14:paraId="3055A27D" w14:textId="22DF9D1D" w:rsidR="00291462" w:rsidRDefault="00C947BB" w:rsidP="0072723E">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I successivi quindici anni di confronto armato con la Francia rivoluzionaria e napoleonica dimostrarono che gli ungheresi erano tutt’altro che intenzionati a sfruttare le occasioni di progressivo indebolimento del potere imperiale asburgico per scindere il legame con Vienna</w:t>
      </w:r>
      <w:r>
        <w:rPr>
          <w:rStyle w:val="Rimandonotaapidipagina"/>
          <w:rFonts w:ascii="Times New Roman" w:hAnsi="Times New Roman"/>
          <w:sz w:val="24"/>
          <w:szCs w:val="24"/>
        </w:rPr>
        <w:footnoteReference w:id="17"/>
      </w:r>
      <w:r w:rsidR="001C6B72">
        <w:rPr>
          <w:rFonts w:ascii="Times New Roman" w:hAnsi="Times New Roman"/>
          <w:sz w:val="24"/>
          <w:szCs w:val="24"/>
        </w:rPr>
        <w:t xml:space="preserve">. </w:t>
      </w:r>
      <w:r w:rsidR="00FA1795">
        <w:rPr>
          <w:rFonts w:ascii="Times New Roman" w:hAnsi="Times New Roman"/>
          <w:sz w:val="24"/>
          <w:szCs w:val="24"/>
        </w:rPr>
        <w:t>La sopravvivenza</w:t>
      </w:r>
      <w:r>
        <w:rPr>
          <w:rFonts w:ascii="Times New Roman" w:hAnsi="Times New Roman"/>
          <w:sz w:val="24"/>
          <w:szCs w:val="24"/>
        </w:rPr>
        <w:t xml:space="preserve"> dell</w:t>
      </w:r>
      <w:r w:rsidR="00D61D46">
        <w:rPr>
          <w:rFonts w:ascii="Times New Roman" w:hAnsi="Times New Roman"/>
          <w:sz w:val="24"/>
          <w:szCs w:val="24"/>
        </w:rPr>
        <w:t>’I</w:t>
      </w:r>
      <w:r w:rsidRPr="00D52DFC">
        <w:rPr>
          <w:rFonts w:ascii="Times New Roman" w:hAnsi="Times New Roman"/>
          <w:sz w:val="24"/>
          <w:szCs w:val="24"/>
        </w:rPr>
        <w:t>mpero</w:t>
      </w:r>
      <w:r w:rsidR="00FA1795">
        <w:rPr>
          <w:rFonts w:ascii="Times New Roman" w:hAnsi="Times New Roman"/>
          <w:sz w:val="24"/>
          <w:szCs w:val="24"/>
        </w:rPr>
        <w:t xml:space="preserve"> </w:t>
      </w:r>
      <w:r>
        <w:rPr>
          <w:rFonts w:ascii="Times New Roman" w:hAnsi="Times New Roman"/>
          <w:sz w:val="24"/>
          <w:szCs w:val="24"/>
        </w:rPr>
        <w:t xml:space="preserve">malgrado la serie di </w:t>
      </w:r>
      <w:r w:rsidR="00D61D46">
        <w:rPr>
          <w:rFonts w:ascii="Times New Roman" w:hAnsi="Times New Roman"/>
          <w:sz w:val="24"/>
          <w:szCs w:val="24"/>
        </w:rPr>
        <w:t>rovesci sul campo di battaglia,</w:t>
      </w:r>
      <w:r w:rsidRPr="00D52DFC">
        <w:rPr>
          <w:rFonts w:ascii="Times New Roman" w:hAnsi="Times New Roman"/>
          <w:sz w:val="24"/>
          <w:szCs w:val="24"/>
        </w:rPr>
        <w:t xml:space="preserve"> il suo collocarsi nel ruolo di rinnovata </w:t>
      </w:r>
      <w:r w:rsidR="00D70AC6">
        <w:rPr>
          <w:rFonts w:ascii="Times New Roman" w:hAnsi="Times New Roman"/>
          <w:sz w:val="24"/>
          <w:szCs w:val="24"/>
        </w:rPr>
        <w:t>g</w:t>
      </w:r>
      <w:commentRangeStart w:id="20"/>
      <w:commentRangeStart w:id="21"/>
      <w:r w:rsidRPr="00D52DFC">
        <w:rPr>
          <w:rFonts w:ascii="Times New Roman" w:hAnsi="Times New Roman"/>
          <w:sz w:val="24"/>
          <w:szCs w:val="24"/>
        </w:rPr>
        <w:t>r</w:t>
      </w:r>
      <w:r w:rsidR="00D70AC6">
        <w:rPr>
          <w:rFonts w:ascii="Times New Roman" w:hAnsi="Times New Roman"/>
          <w:sz w:val="24"/>
          <w:szCs w:val="24"/>
        </w:rPr>
        <w:t>ande p</w:t>
      </w:r>
      <w:r w:rsidRPr="00D52DFC">
        <w:rPr>
          <w:rFonts w:ascii="Times New Roman" w:hAnsi="Times New Roman"/>
          <w:sz w:val="24"/>
          <w:szCs w:val="24"/>
        </w:rPr>
        <w:t>otenza</w:t>
      </w:r>
      <w:commentRangeEnd w:id="20"/>
      <w:r w:rsidR="00D61D46">
        <w:rPr>
          <w:rStyle w:val="Rimandocommento"/>
        </w:rPr>
        <w:commentReference w:id="20"/>
      </w:r>
      <w:commentRangeEnd w:id="21"/>
      <w:r w:rsidR="009737B7">
        <w:rPr>
          <w:rStyle w:val="Rimandocommento"/>
        </w:rPr>
        <w:commentReference w:id="21"/>
      </w:r>
      <w:r w:rsidR="00FA1795">
        <w:rPr>
          <w:rFonts w:ascii="Times New Roman" w:hAnsi="Times New Roman"/>
          <w:sz w:val="24"/>
          <w:szCs w:val="24"/>
        </w:rPr>
        <w:t>, segnarono</w:t>
      </w:r>
      <w:r>
        <w:rPr>
          <w:rFonts w:ascii="Times New Roman" w:hAnsi="Times New Roman"/>
          <w:sz w:val="24"/>
          <w:szCs w:val="24"/>
        </w:rPr>
        <w:t xml:space="preserve"> il punto culminante del successo delle riforme e della cultu</w:t>
      </w:r>
      <w:r w:rsidR="00D70AC6">
        <w:rPr>
          <w:rFonts w:ascii="Times New Roman" w:hAnsi="Times New Roman"/>
          <w:sz w:val="24"/>
          <w:szCs w:val="24"/>
        </w:rPr>
        <w:t>r</w:t>
      </w:r>
      <w:r w:rsidR="0044773B">
        <w:rPr>
          <w:rFonts w:ascii="Times New Roman" w:hAnsi="Times New Roman"/>
          <w:sz w:val="24"/>
          <w:szCs w:val="24"/>
        </w:rPr>
        <w:t>a illuminista del XVIII secolo.</w:t>
      </w:r>
    </w:p>
    <w:p w14:paraId="7CFBBAB1" w14:textId="77777777" w:rsidR="0003523F" w:rsidRDefault="00C947BB" w:rsidP="0003523F">
      <w:pPr>
        <w:pStyle w:val="Testonotaapidipagina"/>
        <w:spacing w:before="100" w:beforeAutospacing="1" w:after="100" w:afterAutospacing="1" w:line="360" w:lineRule="auto"/>
        <w:ind w:right="567" w:firstLine="567"/>
        <w:jc w:val="both"/>
        <w:rPr>
          <w:rFonts w:ascii="Times New Roman" w:hAnsi="Times New Roman"/>
          <w:sz w:val="24"/>
          <w:szCs w:val="24"/>
        </w:rPr>
      </w:pPr>
      <w:r w:rsidRPr="00937230">
        <w:rPr>
          <w:rFonts w:ascii="Times New Roman" w:hAnsi="Times New Roman"/>
          <w:i/>
          <w:sz w:val="24"/>
          <w:szCs w:val="24"/>
        </w:rPr>
        <w:t>Legittimis</w:t>
      </w:r>
      <w:r>
        <w:rPr>
          <w:rFonts w:ascii="Times New Roman" w:hAnsi="Times New Roman"/>
          <w:i/>
          <w:sz w:val="24"/>
          <w:szCs w:val="24"/>
        </w:rPr>
        <w:t>mo versus liberalismo (1815-1848</w:t>
      </w:r>
      <w:r w:rsidRPr="00937230">
        <w:rPr>
          <w:rFonts w:ascii="Times New Roman" w:hAnsi="Times New Roman"/>
          <w:i/>
          <w:sz w:val="24"/>
          <w:szCs w:val="24"/>
        </w:rPr>
        <w:t>)</w:t>
      </w:r>
    </w:p>
    <w:p w14:paraId="0772F6C2" w14:textId="54ED3690" w:rsidR="00521EFE" w:rsidRDefault="00D61D46" w:rsidP="0003523F">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La nuova posizione dell’I</w:t>
      </w:r>
      <w:r w:rsidR="00C947BB">
        <w:rPr>
          <w:rFonts w:ascii="Times New Roman" w:hAnsi="Times New Roman"/>
          <w:sz w:val="24"/>
          <w:szCs w:val="24"/>
        </w:rPr>
        <w:t>mpero d’Austria in Europa dopo il 1815 d</w:t>
      </w:r>
      <w:r w:rsidR="00CE0A7E">
        <w:rPr>
          <w:rFonts w:ascii="Times New Roman" w:hAnsi="Times New Roman"/>
          <w:sz w:val="24"/>
          <w:szCs w:val="24"/>
        </w:rPr>
        <w:t>ovette</w:t>
      </w:r>
      <w:r>
        <w:rPr>
          <w:rFonts w:ascii="Times New Roman" w:hAnsi="Times New Roman"/>
          <w:sz w:val="24"/>
          <w:szCs w:val="24"/>
        </w:rPr>
        <w:t xml:space="preserve"> fare i conti co</w:t>
      </w:r>
      <w:r w:rsidR="003F735E">
        <w:rPr>
          <w:rFonts w:ascii="Times New Roman" w:hAnsi="Times New Roman"/>
          <w:sz w:val="24"/>
          <w:szCs w:val="24"/>
        </w:rPr>
        <w:t xml:space="preserve">n il diffondersi di principi liberali e nazionali mentre sedeva sul trono Francesco I, interessato </w:t>
      </w:r>
      <w:r w:rsidR="006D0BF0">
        <w:rPr>
          <w:rFonts w:ascii="Times New Roman" w:hAnsi="Times New Roman"/>
          <w:sz w:val="24"/>
          <w:szCs w:val="24"/>
        </w:rPr>
        <w:t xml:space="preserve">alla pura conservazione </w:t>
      </w:r>
      <w:r w:rsidR="00C947BB">
        <w:rPr>
          <w:rFonts w:ascii="Times New Roman" w:hAnsi="Times New Roman"/>
          <w:sz w:val="24"/>
          <w:szCs w:val="24"/>
        </w:rPr>
        <w:t xml:space="preserve">dello </w:t>
      </w:r>
      <w:r w:rsidR="00C947BB" w:rsidRPr="00D61D46">
        <w:rPr>
          <w:rFonts w:ascii="Times New Roman" w:hAnsi="Times New Roman"/>
          <w:i/>
          <w:sz w:val="24"/>
          <w:szCs w:val="24"/>
        </w:rPr>
        <w:t>status quo</w:t>
      </w:r>
      <w:r w:rsidR="00C947BB">
        <w:rPr>
          <w:rFonts w:ascii="Times New Roman" w:hAnsi="Times New Roman"/>
          <w:sz w:val="24"/>
          <w:szCs w:val="24"/>
        </w:rPr>
        <w:t>. Il grand</w:t>
      </w:r>
      <w:r w:rsidR="006D0BF0">
        <w:rPr>
          <w:rFonts w:ascii="Times New Roman" w:hAnsi="Times New Roman"/>
          <w:sz w:val="24"/>
          <w:szCs w:val="24"/>
        </w:rPr>
        <w:t>e ruolo del principe Metternich</w:t>
      </w:r>
      <w:r>
        <w:rPr>
          <w:rFonts w:ascii="Times New Roman" w:hAnsi="Times New Roman"/>
          <w:sz w:val="24"/>
          <w:szCs w:val="24"/>
        </w:rPr>
        <w:t>,</w:t>
      </w:r>
      <w:r w:rsidR="00C947BB">
        <w:rPr>
          <w:rFonts w:ascii="Times New Roman" w:hAnsi="Times New Roman"/>
          <w:sz w:val="24"/>
          <w:szCs w:val="24"/>
        </w:rPr>
        <w:t xml:space="preserve"> arbitro della politica imperiale,</w:t>
      </w:r>
      <w:r w:rsidR="00C001C2">
        <w:rPr>
          <w:rFonts w:ascii="Times New Roman" w:hAnsi="Times New Roman"/>
          <w:sz w:val="24"/>
          <w:szCs w:val="24"/>
        </w:rPr>
        <w:t xml:space="preserve"> fu</w:t>
      </w:r>
      <w:r w:rsidR="00291462">
        <w:rPr>
          <w:rFonts w:ascii="Times New Roman" w:hAnsi="Times New Roman"/>
          <w:sz w:val="24"/>
          <w:szCs w:val="24"/>
        </w:rPr>
        <w:t xml:space="preserve"> di armonizzare</w:t>
      </w:r>
      <w:r w:rsidR="006D0BF0">
        <w:rPr>
          <w:rFonts w:ascii="Times New Roman" w:hAnsi="Times New Roman"/>
          <w:sz w:val="24"/>
          <w:szCs w:val="24"/>
        </w:rPr>
        <w:t xml:space="preserve"> la volont</w:t>
      </w:r>
      <w:r w:rsidR="0046632E">
        <w:rPr>
          <w:rFonts w:ascii="Times New Roman" w:hAnsi="Times New Roman"/>
          <w:sz w:val="24"/>
          <w:szCs w:val="24"/>
        </w:rPr>
        <w:t>à</w:t>
      </w:r>
      <w:r w:rsidR="00291462">
        <w:rPr>
          <w:rFonts w:ascii="Times New Roman" w:hAnsi="Times New Roman"/>
          <w:sz w:val="24"/>
          <w:szCs w:val="24"/>
        </w:rPr>
        <w:t xml:space="preserve"> conservatrice</w:t>
      </w:r>
      <w:r w:rsidR="0046632E">
        <w:rPr>
          <w:rFonts w:ascii="Times New Roman" w:hAnsi="Times New Roman"/>
          <w:sz w:val="24"/>
          <w:szCs w:val="24"/>
        </w:rPr>
        <w:t xml:space="preserve"> del</w:t>
      </w:r>
      <w:r w:rsidR="0003523F">
        <w:rPr>
          <w:rFonts w:ascii="Times New Roman" w:hAnsi="Times New Roman"/>
          <w:sz w:val="24"/>
          <w:szCs w:val="24"/>
        </w:rPr>
        <w:t xml:space="preserve"> </w:t>
      </w:r>
      <w:r w:rsidR="00291462">
        <w:rPr>
          <w:rFonts w:ascii="Times New Roman" w:hAnsi="Times New Roman"/>
          <w:sz w:val="24"/>
          <w:szCs w:val="24"/>
        </w:rPr>
        <w:t>sovrano con gli equilibri di potere in Europa. N</w:t>
      </w:r>
      <w:r w:rsidR="0051154B">
        <w:rPr>
          <w:rFonts w:ascii="Times New Roman" w:hAnsi="Times New Roman"/>
          <w:sz w:val="24"/>
          <w:szCs w:val="24"/>
        </w:rPr>
        <w:t>ell’impero d’Austria</w:t>
      </w:r>
      <w:r w:rsidR="00291462">
        <w:rPr>
          <w:rFonts w:ascii="Times New Roman" w:hAnsi="Times New Roman"/>
          <w:sz w:val="24"/>
          <w:szCs w:val="24"/>
        </w:rPr>
        <w:t xml:space="preserve"> Metternich vide il</w:t>
      </w:r>
      <w:r w:rsidR="00F71CCE">
        <w:rPr>
          <w:rFonts w:ascii="Times New Roman" w:hAnsi="Times New Roman"/>
          <w:sz w:val="24"/>
          <w:szCs w:val="24"/>
        </w:rPr>
        <w:t xml:space="preserve"> baluardo contro l’affermarsi di </w:t>
      </w:r>
      <w:r w:rsidR="00C947BB">
        <w:rPr>
          <w:rFonts w:ascii="Times New Roman" w:hAnsi="Times New Roman"/>
          <w:sz w:val="24"/>
          <w:szCs w:val="24"/>
        </w:rPr>
        <w:t>mod</w:t>
      </w:r>
      <w:r w:rsidR="00A9053C">
        <w:rPr>
          <w:rFonts w:ascii="Times New Roman" w:hAnsi="Times New Roman"/>
          <w:sz w:val="24"/>
          <w:szCs w:val="24"/>
        </w:rPr>
        <w:t>erne nazioni</w:t>
      </w:r>
      <w:r w:rsidR="0046632E">
        <w:rPr>
          <w:rFonts w:ascii="Times New Roman" w:hAnsi="Times New Roman"/>
          <w:sz w:val="24"/>
          <w:szCs w:val="24"/>
        </w:rPr>
        <w:t>, il cui avvento</w:t>
      </w:r>
      <w:r w:rsidR="0051154B">
        <w:rPr>
          <w:rFonts w:ascii="Times New Roman" w:hAnsi="Times New Roman"/>
          <w:sz w:val="24"/>
          <w:szCs w:val="24"/>
        </w:rPr>
        <w:t xml:space="preserve"> </w:t>
      </w:r>
      <w:r w:rsidR="006E0B86">
        <w:rPr>
          <w:rFonts w:ascii="Times New Roman" w:hAnsi="Times New Roman"/>
          <w:sz w:val="24"/>
          <w:szCs w:val="24"/>
        </w:rPr>
        <w:t>sperava di procra</w:t>
      </w:r>
      <w:r w:rsidR="00F71CCE">
        <w:rPr>
          <w:rFonts w:ascii="Times New Roman" w:hAnsi="Times New Roman"/>
          <w:sz w:val="24"/>
          <w:szCs w:val="24"/>
        </w:rPr>
        <w:t>stinare il più a lungo possibile</w:t>
      </w:r>
      <w:r w:rsidR="00653D44">
        <w:rPr>
          <w:rFonts w:ascii="Times New Roman" w:hAnsi="Times New Roman"/>
          <w:sz w:val="24"/>
          <w:szCs w:val="24"/>
        </w:rPr>
        <w:t>.</w:t>
      </w:r>
      <w:r w:rsidR="00291462">
        <w:rPr>
          <w:rFonts w:ascii="Times New Roman" w:hAnsi="Times New Roman"/>
          <w:sz w:val="24"/>
          <w:szCs w:val="24"/>
        </w:rPr>
        <w:t xml:space="preserve"> In quest’ottica</w:t>
      </w:r>
      <w:r w:rsidR="00DD73F0">
        <w:rPr>
          <w:rFonts w:ascii="Times New Roman" w:hAnsi="Times New Roman"/>
          <w:sz w:val="24"/>
          <w:szCs w:val="24"/>
        </w:rPr>
        <w:t>,</w:t>
      </w:r>
      <w:r w:rsidR="00291462">
        <w:rPr>
          <w:rFonts w:ascii="Times New Roman" w:hAnsi="Times New Roman"/>
          <w:sz w:val="24"/>
          <w:szCs w:val="24"/>
        </w:rPr>
        <w:t xml:space="preserve"> al</w:t>
      </w:r>
      <w:commentRangeStart w:id="22"/>
      <w:commentRangeStart w:id="23"/>
      <w:r w:rsidR="00F71CCE">
        <w:rPr>
          <w:rFonts w:ascii="Times New Roman" w:hAnsi="Times New Roman"/>
          <w:sz w:val="24"/>
          <w:szCs w:val="24"/>
        </w:rPr>
        <w:t xml:space="preserve"> tentativo di tenere a bada contemporaneamente</w:t>
      </w:r>
      <w:r w:rsidR="00C947BB">
        <w:rPr>
          <w:rFonts w:ascii="Times New Roman" w:hAnsi="Times New Roman"/>
          <w:sz w:val="24"/>
          <w:szCs w:val="24"/>
        </w:rPr>
        <w:t xml:space="preserve"> due idee di portata rivoluzionaria come liberalismo e nazione</w:t>
      </w:r>
      <w:commentRangeEnd w:id="22"/>
      <w:r>
        <w:rPr>
          <w:rStyle w:val="Rimandocommento"/>
        </w:rPr>
        <w:commentReference w:id="22"/>
      </w:r>
      <w:commentRangeEnd w:id="23"/>
      <w:r w:rsidR="00353998">
        <w:rPr>
          <w:rStyle w:val="Rimandocommento"/>
        </w:rPr>
        <w:commentReference w:id="23"/>
      </w:r>
      <w:r w:rsidR="00291462">
        <w:rPr>
          <w:rFonts w:ascii="Times New Roman" w:hAnsi="Times New Roman"/>
          <w:sz w:val="24"/>
          <w:szCs w:val="24"/>
        </w:rPr>
        <w:t xml:space="preserve"> venne a mancare un orizzonte ideale più coinvolgente del</w:t>
      </w:r>
      <w:r w:rsidR="00653D44">
        <w:rPr>
          <w:rFonts w:ascii="Times New Roman" w:hAnsi="Times New Roman"/>
          <w:sz w:val="24"/>
          <w:szCs w:val="24"/>
        </w:rPr>
        <w:t xml:space="preserve"> giuseppinismo</w:t>
      </w:r>
      <w:r w:rsidR="00291462">
        <w:rPr>
          <w:rFonts w:ascii="Times New Roman" w:hAnsi="Times New Roman"/>
          <w:sz w:val="24"/>
          <w:szCs w:val="24"/>
        </w:rPr>
        <w:t>,</w:t>
      </w:r>
      <w:r w:rsidR="0051154B">
        <w:rPr>
          <w:rFonts w:ascii="Times New Roman" w:hAnsi="Times New Roman"/>
          <w:sz w:val="24"/>
          <w:szCs w:val="24"/>
        </w:rPr>
        <w:t xml:space="preserve"> </w:t>
      </w:r>
      <w:r w:rsidR="00291462">
        <w:rPr>
          <w:rFonts w:ascii="Times New Roman" w:hAnsi="Times New Roman"/>
          <w:sz w:val="24"/>
          <w:szCs w:val="24"/>
        </w:rPr>
        <w:t>privato della sua tensione riformatrice</w:t>
      </w:r>
      <w:r w:rsidR="00653D44">
        <w:rPr>
          <w:rFonts w:ascii="Times New Roman" w:hAnsi="Times New Roman"/>
          <w:sz w:val="24"/>
          <w:szCs w:val="24"/>
        </w:rPr>
        <w:t>.</w:t>
      </w:r>
      <w:r w:rsidR="00C947BB">
        <w:rPr>
          <w:rFonts w:ascii="Times New Roman" w:hAnsi="Times New Roman"/>
          <w:sz w:val="24"/>
          <w:szCs w:val="24"/>
        </w:rPr>
        <w:t xml:space="preserve"> </w:t>
      </w:r>
    </w:p>
    <w:p w14:paraId="6071260C" w14:textId="518B9BE2" w:rsidR="00133D9E" w:rsidRDefault="00521EFE" w:rsidP="006D6265">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 xml:space="preserve">Lo </w:t>
      </w:r>
      <w:r w:rsidR="00C947BB">
        <w:rPr>
          <w:rFonts w:ascii="Times New Roman" w:hAnsi="Times New Roman"/>
          <w:sz w:val="24"/>
          <w:szCs w:val="24"/>
        </w:rPr>
        <w:t>sviluppo</w:t>
      </w:r>
      <w:r w:rsidR="00DB41E7">
        <w:rPr>
          <w:rFonts w:ascii="Times New Roman" w:hAnsi="Times New Roman"/>
          <w:sz w:val="24"/>
          <w:szCs w:val="24"/>
        </w:rPr>
        <w:t xml:space="preserve"> del</w:t>
      </w:r>
      <w:r w:rsidR="00C947BB">
        <w:rPr>
          <w:rFonts w:ascii="Times New Roman" w:hAnsi="Times New Roman"/>
          <w:sz w:val="24"/>
          <w:szCs w:val="24"/>
        </w:rPr>
        <w:t xml:space="preserve"> movimento nazionale</w:t>
      </w:r>
      <w:r w:rsidR="004F108C">
        <w:rPr>
          <w:rFonts w:ascii="Times New Roman" w:hAnsi="Times New Roman"/>
          <w:sz w:val="24"/>
          <w:szCs w:val="24"/>
        </w:rPr>
        <w:t xml:space="preserve"> in Italia</w:t>
      </w:r>
      <w:r w:rsidR="009C1964">
        <w:rPr>
          <w:rFonts w:ascii="Times New Roman" w:hAnsi="Times New Roman"/>
          <w:sz w:val="24"/>
          <w:szCs w:val="24"/>
        </w:rPr>
        <w:t xml:space="preserve"> mise rapidamente l’Austri</w:t>
      </w:r>
      <w:r w:rsidR="00867720">
        <w:rPr>
          <w:rFonts w:ascii="Times New Roman" w:hAnsi="Times New Roman"/>
          <w:sz w:val="24"/>
          <w:szCs w:val="24"/>
        </w:rPr>
        <w:t>a imperiale nella condizione di</w:t>
      </w:r>
      <w:r w:rsidR="009C1964">
        <w:rPr>
          <w:rFonts w:ascii="Times New Roman" w:hAnsi="Times New Roman"/>
          <w:sz w:val="24"/>
          <w:szCs w:val="24"/>
        </w:rPr>
        <w:t xml:space="preserve"> nemico</w:t>
      </w:r>
      <w:r w:rsidR="004F108C">
        <w:rPr>
          <w:rFonts w:ascii="Times New Roman" w:hAnsi="Times New Roman"/>
          <w:sz w:val="24"/>
          <w:szCs w:val="24"/>
        </w:rPr>
        <w:t xml:space="preserve"> dei patrioti</w:t>
      </w:r>
      <w:r w:rsidR="009C1964">
        <w:rPr>
          <w:rFonts w:ascii="Times New Roman" w:hAnsi="Times New Roman"/>
          <w:sz w:val="24"/>
          <w:szCs w:val="24"/>
        </w:rPr>
        <w:t xml:space="preserve"> </w:t>
      </w:r>
      <w:r>
        <w:rPr>
          <w:rFonts w:ascii="Times New Roman" w:hAnsi="Times New Roman"/>
          <w:sz w:val="24"/>
          <w:szCs w:val="24"/>
        </w:rPr>
        <w:t>–</w:t>
      </w:r>
      <w:r w:rsidR="00C947BB">
        <w:rPr>
          <w:rFonts w:ascii="Times New Roman" w:hAnsi="Times New Roman"/>
          <w:sz w:val="24"/>
          <w:szCs w:val="24"/>
        </w:rPr>
        <w:t xml:space="preserve"> </w:t>
      </w:r>
      <w:r w:rsidR="009C1964">
        <w:rPr>
          <w:rFonts w:ascii="Times New Roman" w:hAnsi="Times New Roman"/>
          <w:sz w:val="24"/>
          <w:szCs w:val="24"/>
        </w:rPr>
        <w:t xml:space="preserve">un’idea </w:t>
      </w:r>
      <w:r w:rsidR="00C947BB">
        <w:rPr>
          <w:rFonts w:ascii="Times New Roman" w:hAnsi="Times New Roman"/>
          <w:sz w:val="24"/>
          <w:szCs w:val="24"/>
        </w:rPr>
        <w:t xml:space="preserve">sempre più condivisa anche dalle </w:t>
      </w:r>
      <w:commentRangeStart w:id="24"/>
      <w:commentRangeStart w:id="25"/>
      <w:r w:rsidR="00C947BB" w:rsidRPr="00521EFE">
        <w:rPr>
          <w:rFonts w:ascii="Times New Roman" w:hAnsi="Times New Roman"/>
          <w:i/>
          <w:sz w:val="24"/>
          <w:szCs w:val="24"/>
        </w:rPr>
        <w:t>élites</w:t>
      </w:r>
      <w:r w:rsidR="00C947BB">
        <w:rPr>
          <w:rFonts w:ascii="Times New Roman" w:hAnsi="Times New Roman"/>
          <w:sz w:val="24"/>
          <w:szCs w:val="24"/>
        </w:rPr>
        <w:t xml:space="preserve"> lombarde</w:t>
      </w:r>
      <w:commentRangeEnd w:id="24"/>
      <w:r>
        <w:rPr>
          <w:rStyle w:val="Rimandocommento"/>
        </w:rPr>
        <w:commentReference w:id="24"/>
      </w:r>
      <w:commentRangeEnd w:id="25"/>
      <w:r w:rsidR="003157E8">
        <w:rPr>
          <w:rStyle w:val="Rimandocommento"/>
        </w:rPr>
        <w:commentReference w:id="25"/>
      </w:r>
      <w:r w:rsidR="009C1964">
        <w:rPr>
          <w:rFonts w:ascii="Times New Roman" w:hAnsi="Times New Roman"/>
          <w:sz w:val="24"/>
          <w:szCs w:val="24"/>
        </w:rPr>
        <w:t>, un tempo f</w:t>
      </w:r>
      <w:r w:rsidR="004158B4">
        <w:rPr>
          <w:rFonts w:ascii="Times New Roman" w:hAnsi="Times New Roman"/>
          <w:sz w:val="24"/>
          <w:szCs w:val="24"/>
        </w:rPr>
        <w:t>avorevoli agli Asburgo</w:t>
      </w:r>
      <w:r w:rsidR="00DB41E7">
        <w:rPr>
          <w:rFonts w:ascii="Times New Roman" w:hAnsi="Times New Roman"/>
          <w:sz w:val="24"/>
          <w:szCs w:val="24"/>
        </w:rPr>
        <w:t>. N</w:t>
      </w:r>
      <w:r w:rsidR="00353998">
        <w:rPr>
          <w:rFonts w:ascii="Times New Roman" w:hAnsi="Times New Roman"/>
          <w:sz w:val="24"/>
          <w:szCs w:val="24"/>
        </w:rPr>
        <w:t>ei territori di lingua tedesca e</w:t>
      </w:r>
      <w:r w:rsidR="00C947BB">
        <w:rPr>
          <w:rFonts w:ascii="Times New Roman" w:hAnsi="Times New Roman"/>
          <w:sz w:val="24"/>
          <w:szCs w:val="24"/>
        </w:rPr>
        <w:t xml:space="preserve"> n</w:t>
      </w:r>
      <w:r w:rsidR="0041524C">
        <w:rPr>
          <w:rFonts w:ascii="Times New Roman" w:hAnsi="Times New Roman"/>
          <w:sz w:val="24"/>
          <w:szCs w:val="24"/>
        </w:rPr>
        <w:t>ei regni associati</w:t>
      </w:r>
      <w:r w:rsidR="00C947BB">
        <w:rPr>
          <w:rFonts w:ascii="Times New Roman" w:hAnsi="Times New Roman"/>
          <w:sz w:val="24"/>
          <w:szCs w:val="24"/>
        </w:rPr>
        <w:t xml:space="preserve"> </w:t>
      </w:r>
      <w:r w:rsidR="003157E8">
        <w:rPr>
          <w:rFonts w:ascii="Times New Roman" w:hAnsi="Times New Roman"/>
          <w:sz w:val="24"/>
          <w:szCs w:val="24"/>
        </w:rPr>
        <w:t>il centralismo assolutistico e burocratico metternichiano</w:t>
      </w:r>
      <w:r w:rsidR="00C947BB">
        <w:rPr>
          <w:rFonts w:ascii="Times New Roman" w:hAnsi="Times New Roman"/>
          <w:sz w:val="24"/>
          <w:szCs w:val="24"/>
        </w:rPr>
        <w:t xml:space="preserve"> </w:t>
      </w:r>
      <w:r w:rsidR="003157E8">
        <w:rPr>
          <w:rFonts w:ascii="Times New Roman" w:hAnsi="Times New Roman"/>
          <w:sz w:val="24"/>
          <w:szCs w:val="24"/>
        </w:rPr>
        <w:t>pose il problema di</w:t>
      </w:r>
      <w:r w:rsidR="00CE0A7E">
        <w:rPr>
          <w:rFonts w:ascii="Times New Roman" w:hAnsi="Times New Roman"/>
          <w:sz w:val="24"/>
          <w:szCs w:val="24"/>
        </w:rPr>
        <w:t xml:space="preserve"> ridefinire </w:t>
      </w:r>
      <w:r w:rsidR="00C947BB">
        <w:rPr>
          <w:rFonts w:ascii="Times New Roman" w:hAnsi="Times New Roman"/>
          <w:sz w:val="24"/>
          <w:szCs w:val="24"/>
        </w:rPr>
        <w:t>un’appartenenza storica</w:t>
      </w:r>
      <w:r w:rsidR="003157E8">
        <w:rPr>
          <w:rFonts w:ascii="Times New Roman" w:hAnsi="Times New Roman"/>
          <w:sz w:val="24"/>
          <w:szCs w:val="24"/>
        </w:rPr>
        <w:t xml:space="preserve"> consolidata.</w:t>
      </w:r>
      <w:r w:rsidR="00C947BB">
        <w:rPr>
          <w:rFonts w:ascii="Times New Roman" w:hAnsi="Times New Roman"/>
          <w:sz w:val="24"/>
          <w:szCs w:val="24"/>
        </w:rPr>
        <w:t xml:space="preserve"> I s</w:t>
      </w:r>
      <w:r w:rsidR="00133D9E">
        <w:rPr>
          <w:rFonts w:ascii="Times New Roman" w:hAnsi="Times New Roman"/>
          <w:sz w:val="24"/>
          <w:szCs w:val="24"/>
        </w:rPr>
        <w:t>entimenti nazionali agli albori –</w:t>
      </w:r>
      <w:r w:rsidR="00AE106C">
        <w:rPr>
          <w:rFonts w:ascii="Times New Roman" w:hAnsi="Times New Roman"/>
          <w:sz w:val="24"/>
          <w:szCs w:val="24"/>
        </w:rPr>
        <w:t xml:space="preserve"> che </w:t>
      </w:r>
      <w:r w:rsidR="00C947BB">
        <w:rPr>
          <w:rFonts w:ascii="Times New Roman" w:hAnsi="Times New Roman"/>
          <w:sz w:val="24"/>
          <w:szCs w:val="24"/>
        </w:rPr>
        <w:t>la guerra</w:t>
      </w:r>
      <w:r w:rsidR="00AE106C">
        <w:rPr>
          <w:rFonts w:ascii="Times New Roman" w:hAnsi="Times New Roman"/>
          <w:sz w:val="24"/>
          <w:szCs w:val="24"/>
        </w:rPr>
        <w:t xml:space="preserve"> anti-</w:t>
      </w:r>
      <w:r w:rsidR="00AE106C">
        <w:rPr>
          <w:rFonts w:ascii="Times New Roman" w:hAnsi="Times New Roman"/>
          <w:sz w:val="24"/>
          <w:szCs w:val="24"/>
        </w:rPr>
        <w:lastRenderedPageBreak/>
        <w:t>napoleonica</w:t>
      </w:r>
      <w:r w:rsidR="00C947BB">
        <w:rPr>
          <w:rFonts w:ascii="Times New Roman" w:hAnsi="Times New Roman"/>
          <w:sz w:val="24"/>
          <w:szCs w:val="24"/>
        </w:rPr>
        <w:t xml:space="preserve"> del 1809 aveva destato sia pure larvatament</w:t>
      </w:r>
      <w:r w:rsidR="00C4471D">
        <w:rPr>
          <w:rFonts w:ascii="Times New Roman" w:hAnsi="Times New Roman"/>
          <w:sz w:val="24"/>
          <w:szCs w:val="24"/>
        </w:rPr>
        <w:t>e fra gli austriaci</w:t>
      </w:r>
      <w:r w:rsidR="00C947BB">
        <w:rPr>
          <w:rStyle w:val="Rimandonotaapidipagina"/>
          <w:rFonts w:ascii="Times New Roman" w:hAnsi="Times New Roman"/>
          <w:sz w:val="24"/>
          <w:szCs w:val="24"/>
        </w:rPr>
        <w:footnoteReference w:id="18"/>
      </w:r>
      <w:r w:rsidR="00133D9E">
        <w:rPr>
          <w:rFonts w:ascii="Times New Roman" w:hAnsi="Times New Roman"/>
          <w:sz w:val="24"/>
          <w:szCs w:val="24"/>
        </w:rPr>
        <w:t xml:space="preserve"> –</w:t>
      </w:r>
      <w:r w:rsidR="00CC5DD3">
        <w:rPr>
          <w:rFonts w:ascii="Times New Roman" w:hAnsi="Times New Roman"/>
          <w:sz w:val="24"/>
          <w:szCs w:val="24"/>
        </w:rPr>
        <w:t xml:space="preserve"> conobbero un possente incremento</w:t>
      </w:r>
      <w:r w:rsidR="00C947BB">
        <w:rPr>
          <w:rFonts w:ascii="Times New Roman" w:hAnsi="Times New Roman"/>
          <w:sz w:val="24"/>
          <w:szCs w:val="24"/>
        </w:rPr>
        <w:t xml:space="preserve"> attraverso l’er</w:t>
      </w:r>
      <w:r w:rsidR="00133D9E">
        <w:rPr>
          <w:rFonts w:ascii="Times New Roman" w:hAnsi="Times New Roman"/>
          <w:sz w:val="24"/>
          <w:szCs w:val="24"/>
        </w:rPr>
        <w:t>ompere della cultura romantica.</w:t>
      </w:r>
    </w:p>
    <w:p w14:paraId="3CF48064" w14:textId="013D119B" w:rsidR="00C947BB" w:rsidRDefault="001D7A28" w:rsidP="005C4377">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Il moderno principio di nazionalità si diffuse rapidamente fra i popoli dell</w:t>
      </w:r>
      <w:r w:rsidRPr="001D7A28">
        <w:rPr>
          <w:rFonts w:ascii="Times New Roman" w:hAnsi="Times New Roman"/>
          <w:sz w:val="24"/>
          <w:szCs w:val="24"/>
        </w:rPr>
        <w:t>’impero</w:t>
      </w:r>
      <w:r w:rsidR="00B27DF7">
        <w:rPr>
          <w:rFonts w:ascii="Times New Roman" w:hAnsi="Times New Roman"/>
          <w:sz w:val="24"/>
          <w:szCs w:val="24"/>
        </w:rPr>
        <w:t>,</w:t>
      </w:r>
      <w:r w:rsidR="00CC5DD3">
        <w:rPr>
          <w:rFonts w:ascii="Times New Roman" w:hAnsi="Times New Roman"/>
          <w:sz w:val="24"/>
          <w:szCs w:val="24"/>
        </w:rPr>
        <w:t xml:space="preserve"> procedendo parallelamente allo sviluppo di idee e programmi politici liberali</w:t>
      </w:r>
      <w:r w:rsidR="00B27DF7">
        <w:rPr>
          <w:rFonts w:ascii="Times New Roman" w:hAnsi="Times New Roman"/>
          <w:sz w:val="24"/>
          <w:szCs w:val="24"/>
        </w:rPr>
        <w:t xml:space="preserve">. </w:t>
      </w:r>
      <w:r w:rsidR="00166FDC">
        <w:rPr>
          <w:rFonts w:ascii="Times New Roman" w:hAnsi="Times New Roman"/>
          <w:sz w:val="24"/>
          <w:szCs w:val="24"/>
        </w:rPr>
        <w:t>L’</w:t>
      </w:r>
      <w:r w:rsidR="00BD7403">
        <w:rPr>
          <w:rFonts w:ascii="Times New Roman" w:hAnsi="Times New Roman"/>
          <w:sz w:val="24"/>
          <w:szCs w:val="24"/>
        </w:rPr>
        <w:t>autonomia</w:t>
      </w:r>
      <w:r w:rsidR="006D64F1">
        <w:rPr>
          <w:rFonts w:ascii="Times New Roman" w:hAnsi="Times New Roman"/>
          <w:sz w:val="24"/>
          <w:szCs w:val="24"/>
        </w:rPr>
        <w:t xml:space="preserve"> </w:t>
      </w:r>
      <w:r w:rsidR="00675C74">
        <w:rPr>
          <w:rFonts w:ascii="Times New Roman" w:hAnsi="Times New Roman"/>
          <w:sz w:val="24"/>
          <w:szCs w:val="24"/>
        </w:rPr>
        <w:t>su</w:t>
      </w:r>
      <w:r w:rsidR="00CC5DD3">
        <w:rPr>
          <w:rFonts w:ascii="Times New Roman" w:hAnsi="Times New Roman"/>
          <w:sz w:val="24"/>
          <w:szCs w:val="24"/>
        </w:rPr>
        <w:t xml:space="preserve"> base</w:t>
      </w:r>
      <w:r>
        <w:rPr>
          <w:rFonts w:ascii="Times New Roman" w:hAnsi="Times New Roman"/>
          <w:sz w:val="24"/>
          <w:szCs w:val="24"/>
        </w:rPr>
        <w:t xml:space="preserve"> linguist</w:t>
      </w:r>
      <w:r w:rsidR="00CC5DD3">
        <w:rPr>
          <w:rFonts w:ascii="Times New Roman" w:hAnsi="Times New Roman"/>
          <w:sz w:val="24"/>
          <w:szCs w:val="24"/>
        </w:rPr>
        <w:t xml:space="preserve">ica e culturale </w:t>
      </w:r>
      <w:r w:rsidR="00606A19">
        <w:rPr>
          <w:rFonts w:ascii="Times New Roman" w:hAnsi="Times New Roman"/>
          <w:sz w:val="24"/>
          <w:szCs w:val="24"/>
        </w:rPr>
        <w:t>divenne l</w:t>
      </w:r>
      <w:r w:rsidR="00606A19" w:rsidRPr="00606A19">
        <w:rPr>
          <w:rFonts w:ascii="Times New Roman" w:hAnsi="Times New Roman"/>
          <w:sz w:val="24"/>
          <w:szCs w:val="24"/>
        </w:rPr>
        <w:t>’obiettivo</w:t>
      </w:r>
      <w:r w:rsidR="00606A19">
        <w:rPr>
          <w:rFonts w:ascii="Times New Roman" w:hAnsi="Times New Roman"/>
          <w:sz w:val="24"/>
          <w:szCs w:val="24"/>
        </w:rPr>
        <w:t xml:space="preserve"> prioritario </w:t>
      </w:r>
      <w:r w:rsidR="00166FDC">
        <w:rPr>
          <w:rFonts w:ascii="Times New Roman" w:hAnsi="Times New Roman"/>
          <w:sz w:val="24"/>
          <w:szCs w:val="24"/>
        </w:rPr>
        <w:t>di tutti i movimenti nazionali</w:t>
      </w:r>
      <w:r w:rsidR="00B27DF7">
        <w:rPr>
          <w:rFonts w:ascii="Times New Roman" w:hAnsi="Times New Roman"/>
          <w:sz w:val="24"/>
          <w:szCs w:val="24"/>
        </w:rPr>
        <w:t>. Nel</w:t>
      </w:r>
      <w:r w:rsidR="006D64F1">
        <w:rPr>
          <w:rFonts w:ascii="Times New Roman" w:hAnsi="Times New Roman"/>
          <w:sz w:val="24"/>
          <w:szCs w:val="24"/>
        </w:rPr>
        <w:t xml:space="preserve"> caso in cui una nazionalità</w:t>
      </w:r>
      <w:r w:rsidR="00B27DF7">
        <w:rPr>
          <w:rFonts w:ascii="Times New Roman" w:hAnsi="Times New Roman"/>
          <w:sz w:val="24"/>
          <w:szCs w:val="24"/>
        </w:rPr>
        <w:t xml:space="preserve"> esercitasse un potere politico e sociale su altre componenti alloglotte</w:t>
      </w:r>
      <w:r w:rsidR="00166FDC">
        <w:rPr>
          <w:rFonts w:ascii="Times New Roman" w:hAnsi="Times New Roman"/>
          <w:sz w:val="24"/>
          <w:szCs w:val="24"/>
        </w:rPr>
        <w:t xml:space="preserve">, </w:t>
      </w:r>
      <w:r w:rsidR="00B27DF7">
        <w:rPr>
          <w:rFonts w:ascii="Times New Roman" w:hAnsi="Times New Roman"/>
          <w:sz w:val="24"/>
          <w:szCs w:val="24"/>
        </w:rPr>
        <w:t xml:space="preserve">come i polacchi </w:t>
      </w:r>
      <w:r w:rsidR="006D64F1">
        <w:rPr>
          <w:rFonts w:ascii="Times New Roman" w:hAnsi="Times New Roman"/>
          <w:sz w:val="24"/>
          <w:szCs w:val="24"/>
        </w:rPr>
        <w:t xml:space="preserve">sugli ucraini </w:t>
      </w:r>
      <w:r w:rsidR="00B27DF7">
        <w:rPr>
          <w:rFonts w:ascii="Times New Roman" w:hAnsi="Times New Roman"/>
          <w:sz w:val="24"/>
          <w:szCs w:val="24"/>
        </w:rPr>
        <w:t>nel regno di Galizia o gli ungheresi</w:t>
      </w:r>
      <w:r w:rsidR="00CE0A7E">
        <w:rPr>
          <w:rFonts w:ascii="Times New Roman" w:hAnsi="Times New Roman"/>
          <w:sz w:val="24"/>
          <w:szCs w:val="24"/>
        </w:rPr>
        <w:t xml:space="preserve"> nei confronti delle nazionalità</w:t>
      </w:r>
      <w:r w:rsidR="006D64F1">
        <w:rPr>
          <w:rFonts w:ascii="Times New Roman" w:hAnsi="Times New Roman"/>
          <w:sz w:val="24"/>
          <w:szCs w:val="24"/>
        </w:rPr>
        <w:t xml:space="preserve"> del Regno di Santo Stefano</w:t>
      </w:r>
      <w:r w:rsidR="00DD73F0">
        <w:rPr>
          <w:rFonts w:ascii="Times New Roman" w:hAnsi="Times New Roman"/>
          <w:sz w:val="24"/>
          <w:szCs w:val="24"/>
        </w:rPr>
        <w:t>, i popoli sottomessi</w:t>
      </w:r>
      <w:r w:rsidR="00567B8F">
        <w:rPr>
          <w:rFonts w:ascii="Times New Roman" w:hAnsi="Times New Roman"/>
          <w:sz w:val="24"/>
          <w:szCs w:val="24"/>
        </w:rPr>
        <w:t>, pur beneficiando del generale clima di riforma e spesso in mutua concorrenza,</w:t>
      </w:r>
      <w:r w:rsidR="00166FDC">
        <w:rPr>
          <w:rFonts w:ascii="Times New Roman" w:hAnsi="Times New Roman"/>
          <w:sz w:val="24"/>
          <w:szCs w:val="24"/>
        </w:rPr>
        <w:t xml:space="preserve"> anteposero naturalmente la difesa della propria identità nazionale alle istanze di modernizzazione e trasformazione liberale della soc</w:t>
      </w:r>
      <w:r w:rsidR="00567B8F">
        <w:rPr>
          <w:rFonts w:ascii="Times New Roman" w:hAnsi="Times New Roman"/>
          <w:sz w:val="24"/>
          <w:szCs w:val="24"/>
        </w:rPr>
        <w:t>ietà</w:t>
      </w:r>
      <w:r w:rsidR="00E80991">
        <w:rPr>
          <w:rStyle w:val="Rimandonotaapidipagina"/>
          <w:rFonts w:ascii="Times New Roman" w:hAnsi="Times New Roman"/>
          <w:sz w:val="24"/>
          <w:szCs w:val="24"/>
        </w:rPr>
        <w:footnoteReference w:id="19"/>
      </w:r>
      <w:r w:rsidR="00166FDC">
        <w:rPr>
          <w:rFonts w:ascii="Times New Roman" w:hAnsi="Times New Roman"/>
          <w:sz w:val="24"/>
          <w:szCs w:val="24"/>
        </w:rPr>
        <w:t>.</w:t>
      </w:r>
      <w:r w:rsidR="00DD73F0">
        <w:rPr>
          <w:rFonts w:ascii="Times New Roman" w:hAnsi="Times New Roman"/>
          <w:sz w:val="24"/>
          <w:szCs w:val="24"/>
        </w:rPr>
        <w:t xml:space="preserve"> In</w:t>
      </w:r>
      <w:r w:rsidR="00606A19">
        <w:rPr>
          <w:rFonts w:ascii="Times New Roman" w:hAnsi="Times New Roman"/>
          <w:sz w:val="24"/>
          <w:szCs w:val="24"/>
        </w:rPr>
        <w:t xml:space="preserve"> Galizia</w:t>
      </w:r>
      <w:r w:rsidR="00DD73F0">
        <w:rPr>
          <w:rFonts w:ascii="Times New Roman" w:hAnsi="Times New Roman"/>
          <w:sz w:val="24"/>
          <w:szCs w:val="24"/>
        </w:rPr>
        <w:t xml:space="preserve"> i</w:t>
      </w:r>
      <w:r w:rsidR="00630CD9">
        <w:rPr>
          <w:rFonts w:ascii="Times New Roman" w:hAnsi="Times New Roman"/>
          <w:sz w:val="24"/>
          <w:szCs w:val="24"/>
        </w:rPr>
        <w:t xml:space="preserve">l </w:t>
      </w:r>
      <w:r w:rsidR="00606A19">
        <w:rPr>
          <w:rFonts w:ascii="Times New Roman" w:hAnsi="Times New Roman"/>
          <w:sz w:val="24"/>
          <w:szCs w:val="24"/>
        </w:rPr>
        <w:t>nascente movimento nazionale ucraino</w:t>
      </w:r>
      <w:r w:rsidR="00630CD9">
        <w:rPr>
          <w:rFonts w:ascii="Times New Roman" w:hAnsi="Times New Roman"/>
          <w:sz w:val="24"/>
          <w:szCs w:val="24"/>
        </w:rPr>
        <w:t>,</w:t>
      </w:r>
      <w:r w:rsidR="00675C74">
        <w:rPr>
          <w:rFonts w:ascii="Times New Roman" w:hAnsi="Times New Roman"/>
          <w:sz w:val="24"/>
          <w:szCs w:val="24"/>
        </w:rPr>
        <w:t xml:space="preserve"> il cui primo e fondamentale fattore di alterità era confessionale,</w:t>
      </w:r>
      <w:r w:rsidR="008569F6">
        <w:rPr>
          <w:rFonts w:ascii="Times New Roman" w:hAnsi="Times New Roman"/>
          <w:sz w:val="24"/>
          <w:szCs w:val="24"/>
        </w:rPr>
        <w:t xml:space="preserve"> </w:t>
      </w:r>
      <w:r w:rsidR="00DD73F0">
        <w:rPr>
          <w:rFonts w:ascii="Times New Roman" w:hAnsi="Times New Roman"/>
          <w:sz w:val="24"/>
          <w:szCs w:val="24"/>
        </w:rPr>
        <w:t xml:space="preserve">si opponeva all’aristocrazia polacca, gelosa custode della memoria della scomparsa </w:t>
      </w:r>
      <w:r w:rsidR="00DD73F0">
        <w:rPr>
          <w:rFonts w:ascii="Times New Roman" w:hAnsi="Times New Roman"/>
          <w:i/>
          <w:sz w:val="24"/>
          <w:szCs w:val="24"/>
        </w:rPr>
        <w:t>Rzecz</w:t>
      </w:r>
      <w:r w:rsidR="00DD73F0" w:rsidRPr="007912DD">
        <w:rPr>
          <w:rFonts w:ascii="Times New Roman" w:hAnsi="Times New Roman"/>
          <w:i/>
          <w:sz w:val="24"/>
          <w:szCs w:val="24"/>
        </w:rPr>
        <w:t>pospolita</w:t>
      </w:r>
      <w:r w:rsidR="00DD73F0">
        <w:rPr>
          <w:rFonts w:ascii="Times New Roman" w:hAnsi="Times New Roman"/>
          <w:sz w:val="24"/>
          <w:szCs w:val="24"/>
        </w:rPr>
        <w:t xml:space="preserve"> polacco-lituana</w:t>
      </w:r>
      <w:r w:rsidR="00DD73F0">
        <w:rPr>
          <w:rStyle w:val="Rimandonotaapidipagina"/>
          <w:rFonts w:ascii="Times New Roman" w:hAnsi="Times New Roman"/>
          <w:sz w:val="24"/>
          <w:szCs w:val="24"/>
        </w:rPr>
        <w:footnoteReference w:id="20"/>
      </w:r>
      <w:r w:rsidR="00C6596A">
        <w:rPr>
          <w:rFonts w:ascii="Times New Roman" w:hAnsi="Times New Roman"/>
          <w:sz w:val="24"/>
          <w:szCs w:val="24"/>
        </w:rPr>
        <w:t xml:space="preserve">. </w:t>
      </w:r>
      <w:r w:rsidR="00803CBD">
        <w:rPr>
          <w:rFonts w:ascii="Times New Roman" w:hAnsi="Times New Roman"/>
          <w:sz w:val="24"/>
          <w:szCs w:val="24"/>
        </w:rPr>
        <w:t>Nel caso boemo il movimento naz</w:t>
      </w:r>
      <w:r w:rsidR="00212351">
        <w:rPr>
          <w:rFonts w:ascii="Times New Roman" w:hAnsi="Times New Roman"/>
          <w:sz w:val="24"/>
          <w:szCs w:val="24"/>
        </w:rPr>
        <w:t xml:space="preserve">ionale ceco, </w:t>
      </w:r>
      <w:r w:rsidR="00F85EDE">
        <w:rPr>
          <w:rFonts w:ascii="Times New Roman" w:hAnsi="Times New Roman"/>
          <w:sz w:val="24"/>
          <w:szCs w:val="24"/>
        </w:rPr>
        <w:t>sorto sulle</w:t>
      </w:r>
      <w:r w:rsidR="003662B2">
        <w:rPr>
          <w:rFonts w:ascii="Times New Roman" w:hAnsi="Times New Roman"/>
          <w:sz w:val="24"/>
          <w:szCs w:val="24"/>
        </w:rPr>
        <w:t xml:space="preserve"> </w:t>
      </w:r>
      <w:r w:rsidR="00212351">
        <w:rPr>
          <w:rFonts w:ascii="Times New Roman" w:hAnsi="Times New Roman"/>
          <w:sz w:val="24"/>
          <w:szCs w:val="24"/>
        </w:rPr>
        <w:t>solide basi intel</w:t>
      </w:r>
      <w:r w:rsidR="003662B2">
        <w:rPr>
          <w:rFonts w:ascii="Times New Roman" w:hAnsi="Times New Roman"/>
          <w:sz w:val="24"/>
          <w:szCs w:val="24"/>
        </w:rPr>
        <w:t>lettuali e sociali</w:t>
      </w:r>
      <w:r w:rsidR="00F85EDE">
        <w:rPr>
          <w:rFonts w:ascii="Times New Roman" w:hAnsi="Times New Roman"/>
          <w:sz w:val="24"/>
          <w:szCs w:val="24"/>
        </w:rPr>
        <w:t xml:space="preserve"> dell’opposizione alla </w:t>
      </w:r>
      <w:r w:rsidR="003662B2" w:rsidRPr="003662B2">
        <w:rPr>
          <w:rFonts w:ascii="Times New Roman" w:hAnsi="Times New Roman"/>
          <w:i/>
          <w:sz w:val="24"/>
          <w:szCs w:val="24"/>
        </w:rPr>
        <w:t>Gleichschaltung</w:t>
      </w:r>
      <w:r w:rsidR="003662B2">
        <w:rPr>
          <w:rFonts w:ascii="Times New Roman" w:hAnsi="Times New Roman"/>
          <w:sz w:val="24"/>
          <w:szCs w:val="24"/>
        </w:rPr>
        <w:t xml:space="preserve"> giuseppina</w:t>
      </w:r>
      <w:r w:rsidR="003662B2">
        <w:rPr>
          <w:rStyle w:val="Rimandonotaapidipagina"/>
          <w:rFonts w:ascii="Times New Roman" w:hAnsi="Times New Roman"/>
          <w:sz w:val="24"/>
          <w:szCs w:val="24"/>
        </w:rPr>
        <w:footnoteReference w:id="21"/>
      </w:r>
      <w:r w:rsidR="003662B2">
        <w:rPr>
          <w:rFonts w:ascii="Times New Roman" w:hAnsi="Times New Roman"/>
          <w:sz w:val="24"/>
          <w:szCs w:val="24"/>
        </w:rPr>
        <w:t xml:space="preserve">, mosse </w:t>
      </w:r>
      <w:r w:rsidR="00675C74">
        <w:rPr>
          <w:rFonts w:ascii="Times New Roman" w:hAnsi="Times New Roman"/>
          <w:sz w:val="24"/>
          <w:szCs w:val="24"/>
        </w:rPr>
        <w:t>alla conquista di Prag</w:t>
      </w:r>
      <w:r w:rsidR="00803CBD">
        <w:rPr>
          <w:rFonts w:ascii="Times New Roman" w:hAnsi="Times New Roman"/>
          <w:sz w:val="24"/>
          <w:szCs w:val="24"/>
        </w:rPr>
        <w:t xml:space="preserve">a, che dalla metà del XIX secolo smise di essere una città prevalentemente abitata da tedeschi ed ebrei. </w:t>
      </w:r>
      <w:r w:rsidR="00C947BB">
        <w:rPr>
          <w:rFonts w:ascii="Times New Roman" w:hAnsi="Times New Roman"/>
          <w:sz w:val="24"/>
          <w:szCs w:val="24"/>
        </w:rPr>
        <w:t>L</w:t>
      </w:r>
      <w:r w:rsidR="00F024F1">
        <w:rPr>
          <w:rFonts w:ascii="Times New Roman" w:hAnsi="Times New Roman"/>
          <w:sz w:val="24"/>
          <w:szCs w:val="24"/>
        </w:rPr>
        <w:t>’Ungheria</w:t>
      </w:r>
      <w:r w:rsidR="00675C74">
        <w:rPr>
          <w:rFonts w:ascii="Times New Roman" w:hAnsi="Times New Roman"/>
          <w:sz w:val="24"/>
          <w:szCs w:val="24"/>
        </w:rPr>
        <w:t xml:space="preserve"> vide radicarsi il movimento</w:t>
      </w:r>
      <w:r w:rsidR="00C947BB" w:rsidRPr="005A0EB5">
        <w:rPr>
          <w:rFonts w:ascii="Times New Roman" w:hAnsi="Times New Roman"/>
          <w:sz w:val="24"/>
          <w:szCs w:val="24"/>
        </w:rPr>
        <w:t xml:space="preserve"> nazionale soprattutto nelle contee che in passato avevano manifestato maggiore ostilit</w:t>
      </w:r>
      <w:r w:rsidR="005C4377">
        <w:rPr>
          <w:rFonts w:ascii="Times New Roman" w:hAnsi="Times New Roman"/>
          <w:sz w:val="24"/>
          <w:szCs w:val="24"/>
        </w:rPr>
        <w:t xml:space="preserve">à verso l’impero, </w:t>
      </w:r>
      <w:r w:rsidR="00C947BB">
        <w:rPr>
          <w:rFonts w:ascii="Times New Roman" w:hAnsi="Times New Roman"/>
          <w:sz w:val="24"/>
          <w:szCs w:val="24"/>
        </w:rPr>
        <w:t xml:space="preserve">ma fu proprio da famiglie nobili </w:t>
      </w:r>
      <w:r w:rsidR="005C4377">
        <w:rPr>
          <w:rFonts w:ascii="Times New Roman" w:hAnsi="Times New Roman"/>
          <w:sz w:val="24"/>
          <w:szCs w:val="24"/>
        </w:rPr>
        <w:t>dell’Ungheria occidentale, per tradizione filo-asburgica,</w:t>
      </w:r>
      <w:r w:rsidR="00C947BB">
        <w:rPr>
          <w:rFonts w:ascii="Times New Roman" w:hAnsi="Times New Roman"/>
          <w:sz w:val="24"/>
          <w:szCs w:val="24"/>
        </w:rPr>
        <w:t xml:space="preserve"> che </w:t>
      </w:r>
      <w:r w:rsidR="00C947BB">
        <w:rPr>
          <w:rFonts w:ascii="Times New Roman" w:hAnsi="Times New Roman"/>
          <w:sz w:val="24"/>
          <w:szCs w:val="24"/>
        </w:rPr>
        <w:lastRenderedPageBreak/>
        <w:t>emersero alcuni dei mag</w:t>
      </w:r>
      <w:r w:rsidR="00BA0224">
        <w:rPr>
          <w:rFonts w:ascii="Times New Roman" w:hAnsi="Times New Roman"/>
          <w:sz w:val="24"/>
          <w:szCs w:val="24"/>
        </w:rPr>
        <w:t>giori patrioti dell’E</w:t>
      </w:r>
      <w:r w:rsidR="00C947BB">
        <w:rPr>
          <w:rFonts w:ascii="Times New Roman" w:hAnsi="Times New Roman"/>
          <w:sz w:val="24"/>
          <w:szCs w:val="24"/>
        </w:rPr>
        <w:t>tà delle riforme</w:t>
      </w:r>
      <w:r w:rsidR="00BA0224">
        <w:rPr>
          <w:rFonts w:ascii="Times New Roman" w:hAnsi="Times New Roman"/>
          <w:sz w:val="24"/>
          <w:szCs w:val="24"/>
        </w:rPr>
        <w:t xml:space="preserve"> (1825-</w:t>
      </w:r>
      <w:r w:rsidR="00A1677A">
        <w:rPr>
          <w:rFonts w:ascii="Times New Roman" w:hAnsi="Times New Roman"/>
          <w:sz w:val="24"/>
          <w:szCs w:val="24"/>
        </w:rPr>
        <w:t>1847</w:t>
      </w:r>
      <w:r w:rsidR="00F024F1">
        <w:rPr>
          <w:rFonts w:ascii="Times New Roman" w:hAnsi="Times New Roman"/>
          <w:sz w:val="24"/>
          <w:szCs w:val="24"/>
        </w:rPr>
        <w:t>).</w:t>
      </w:r>
      <w:r w:rsidR="00F7232F">
        <w:rPr>
          <w:rStyle w:val="Rimandonotaapidipagina"/>
          <w:rFonts w:ascii="Times New Roman" w:hAnsi="Times New Roman"/>
          <w:sz w:val="24"/>
          <w:szCs w:val="24"/>
        </w:rPr>
        <w:footnoteReference w:id="22"/>
      </w:r>
      <w:r w:rsidR="00C947BB">
        <w:rPr>
          <w:rFonts w:ascii="Times New Roman" w:hAnsi="Times New Roman"/>
          <w:sz w:val="24"/>
          <w:szCs w:val="24"/>
        </w:rPr>
        <w:t xml:space="preserve"> La vera linea di faglia fra gli ungheresi fu tra </w:t>
      </w:r>
      <w:r w:rsidR="009108ED">
        <w:rPr>
          <w:rFonts w:ascii="Times New Roman" w:hAnsi="Times New Roman"/>
          <w:sz w:val="24"/>
          <w:szCs w:val="24"/>
        </w:rPr>
        <w:t>coloro che auspicavano una maggiore autonomia</w:t>
      </w:r>
      <w:r w:rsidR="0059426C">
        <w:rPr>
          <w:rFonts w:ascii="Times New Roman" w:hAnsi="Times New Roman"/>
          <w:sz w:val="24"/>
          <w:szCs w:val="24"/>
        </w:rPr>
        <w:t xml:space="preserve"> –</w:t>
      </w:r>
      <w:r w:rsidR="009108ED">
        <w:rPr>
          <w:rFonts w:ascii="Times New Roman" w:hAnsi="Times New Roman"/>
          <w:sz w:val="24"/>
          <w:szCs w:val="24"/>
        </w:rPr>
        <w:t xml:space="preserve"> compatibile</w:t>
      </w:r>
      <w:r w:rsidR="00C947BB">
        <w:rPr>
          <w:rFonts w:ascii="Times New Roman" w:hAnsi="Times New Roman"/>
          <w:sz w:val="24"/>
          <w:szCs w:val="24"/>
        </w:rPr>
        <w:t xml:space="preserve"> con l’appartenenza allo Stato imperiale asburgico</w:t>
      </w:r>
      <w:r w:rsidR="0059426C">
        <w:rPr>
          <w:rFonts w:ascii="Times New Roman" w:hAnsi="Times New Roman"/>
          <w:sz w:val="24"/>
          <w:szCs w:val="24"/>
        </w:rPr>
        <w:t xml:space="preserve"> –</w:t>
      </w:r>
      <w:r w:rsidR="009108ED">
        <w:rPr>
          <w:rFonts w:ascii="Times New Roman" w:hAnsi="Times New Roman"/>
          <w:sz w:val="24"/>
          <w:szCs w:val="24"/>
        </w:rPr>
        <w:t xml:space="preserve"> e quelli che vagheggiavano</w:t>
      </w:r>
      <w:r w:rsidR="00C947BB">
        <w:rPr>
          <w:rFonts w:ascii="Times New Roman" w:hAnsi="Times New Roman"/>
          <w:sz w:val="24"/>
          <w:szCs w:val="24"/>
        </w:rPr>
        <w:t xml:space="preserve"> la scissione del legame ormai secolare con gli Asburgo, una minoranza</w:t>
      </w:r>
      <w:r w:rsidR="009108ED">
        <w:rPr>
          <w:rFonts w:ascii="Times New Roman" w:hAnsi="Times New Roman"/>
          <w:sz w:val="24"/>
          <w:szCs w:val="24"/>
        </w:rPr>
        <w:t xml:space="preserve"> peraltro </w:t>
      </w:r>
      <w:r w:rsidR="00C947BB">
        <w:rPr>
          <w:rFonts w:ascii="Times New Roman" w:hAnsi="Times New Roman"/>
          <w:sz w:val="24"/>
          <w:szCs w:val="24"/>
        </w:rPr>
        <w:t xml:space="preserve">agguerrita. </w:t>
      </w:r>
      <w:r w:rsidR="009108ED">
        <w:rPr>
          <w:rFonts w:ascii="Times New Roman" w:hAnsi="Times New Roman"/>
          <w:sz w:val="24"/>
          <w:szCs w:val="24"/>
        </w:rPr>
        <w:t>N</w:t>
      </w:r>
      <w:r w:rsidR="00212351">
        <w:rPr>
          <w:rFonts w:ascii="Times New Roman" w:hAnsi="Times New Roman"/>
          <w:sz w:val="24"/>
          <w:szCs w:val="24"/>
        </w:rPr>
        <w:t>el campo sempre più numeroso dei liberali moderati</w:t>
      </w:r>
      <w:r w:rsidR="00775D11">
        <w:rPr>
          <w:rFonts w:ascii="Times New Roman" w:hAnsi="Times New Roman"/>
          <w:sz w:val="24"/>
          <w:szCs w:val="24"/>
        </w:rPr>
        <w:t xml:space="preserve"> si collocavano</w:t>
      </w:r>
      <w:r w:rsidR="00212351">
        <w:rPr>
          <w:rFonts w:ascii="Times New Roman" w:hAnsi="Times New Roman"/>
          <w:sz w:val="24"/>
          <w:szCs w:val="24"/>
        </w:rPr>
        <w:t xml:space="preserve"> </w:t>
      </w:r>
      <w:r w:rsidR="0086525D">
        <w:rPr>
          <w:rFonts w:ascii="Times New Roman" w:hAnsi="Times New Roman"/>
          <w:sz w:val="24"/>
          <w:szCs w:val="24"/>
        </w:rPr>
        <w:t>i cen</w:t>
      </w:r>
      <w:r w:rsidR="00775D11">
        <w:rPr>
          <w:rFonts w:ascii="Times New Roman" w:hAnsi="Times New Roman"/>
          <w:sz w:val="24"/>
          <w:szCs w:val="24"/>
        </w:rPr>
        <w:t>tralisti</w:t>
      </w:r>
      <w:r w:rsidR="00775D11">
        <w:rPr>
          <w:rStyle w:val="Rimandonotaapidipagina"/>
          <w:rFonts w:ascii="Times New Roman" w:hAnsi="Times New Roman"/>
          <w:sz w:val="24"/>
          <w:szCs w:val="24"/>
        </w:rPr>
        <w:footnoteReference w:id="23"/>
      </w:r>
      <w:r w:rsidR="00775D11">
        <w:rPr>
          <w:rFonts w:ascii="Times New Roman" w:hAnsi="Times New Roman"/>
          <w:sz w:val="24"/>
          <w:szCs w:val="24"/>
        </w:rPr>
        <w:t>, sostenitori dell’affe</w:t>
      </w:r>
      <w:r w:rsidR="00364612">
        <w:rPr>
          <w:rFonts w:ascii="Times New Roman" w:hAnsi="Times New Roman"/>
          <w:sz w:val="24"/>
          <w:szCs w:val="24"/>
        </w:rPr>
        <w:t>rmazione di un sistema parlamentare sul</w:t>
      </w:r>
      <w:r w:rsidR="00775D11">
        <w:rPr>
          <w:rFonts w:ascii="Times New Roman" w:hAnsi="Times New Roman"/>
          <w:sz w:val="24"/>
          <w:szCs w:val="24"/>
        </w:rPr>
        <w:t xml:space="preserve"> modello</w:t>
      </w:r>
      <w:r w:rsidR="003166A9">
        <w:rPr>
          <w:rFonts w:ascii="Times New Roman" w:hAnsi="Times New Roman"/>
          <w:sz w:val="24"/>
          <w:szCs w:val="24"/>
        </w:rPr>
        <w:t xml:space="preserve"> britannico</w:t>
      </w:r>
      <w:r w:rsidR="00364612">
        <w:rPr>
          <w:rFonts w:ascii="Times New Roman" w:hAnsi="Times New Roman"/>
          <w:sz w:val="24"/>
          <w:szCs w:val="24"/>
        </w:rPr>
        <w:t xml:space="preserve"> e favorevoli al</w:t>
      </w:r>
      <w:r w:rsidR="00775D11">
        <w:rPr>
          <w:rFonts w:ascii="Times New Roman" w:hAnsi="Times New Roman"/>
          <w:sz w:val="24"/>
          <w:szCs w:val="24"/>
        </w:rPr>
        <w:t>la tutela del</w:t>
      </w:r>
      <w:r w:rsidR="00C947BB">
        <w:rPr>
          <w:rFonts w:ascii="Times New Roman" w:hAnsi="Times New Roman"/>
          <w:sz w:val="24"/>
          <w:szCs w:val="24"/>
        </w:rPr>
        <w:t>la nascente industria nazionale adottando una politica di daz</w:t>
      </w:r>
      <w:r w:rsidR="00BB14EC">
        <w:rPr>
          <w:rFonts w:ascii="Times New Roman" w:hAnsi="Times New Roman"/>
          <w:sz w:val="24"/>
          <w:szCs w:val="24"/>
        </w:rPr>
        <w:t>i nei confronti del resto dell’I</w:t>
      </w:r>
      <w:r w:rsidR="00C947BB">
        <w:rPr>
          <w:rFonts w:ascii="Times New Roman" w:hAnsi="Times New Roman"/>
          <w:sz w:val="24"/>
          <w:szCs w:val="24"/>
        </w:rPr>
        <w:t>mpero</w:t>
      </w:r>
      <w:commentRangeStart w:id="26"/>
      <w:commentRangeStart w:id="27"/>
      <w:r w:rsidR="00C947BB">
        <w:rPr>
          <w:rStyle w:val="Rimandonotaapidipagina"/>
          <w:rFonts w:ascii="Times New Roman" w:hAnsi="Times New Roman"/>
          <w:sz w:val="24"/>
          <w:szCs w:val="24"/>
        </w:rPr>
        <w:footnoteReference w:id="24"/>
      </w:r>
      <w:commentRangeEnd w:id="26"/>
      <w:r w:rsidR="00783D99">
        <w:rPr>
          <w:rStyle w:val="Rimandocommento"/>
        </w:rPr>
        <w:commentReference w:id="26"/>
      </w:r>
      <w:commentRangeEnd w:id="27"/>
      <w:r w:rsidR="00174ADB">
        <w:rPr>
          <w:rStyle w:val="Rimandocommento"/>
        </w:rPr>
        <w:commentReference w:id="27"/>
      </w:r>
      <w:r w:rsidR="006D6265">
        <w:rPr>
          <w:rFonts w:ascii="Times New Roman" w:hAnsi="Times New Roman"/>
          <w:sz w:val="24"/>
          <w:szCs w:val="24"/>
        </w:rPr>
        <w:t>.</w:t>
      </w:r>
    </w:p>
    <w:p w14:paraId="0AEE551F" w14:textId="77777777" w:rsidR="006D6265" w:rsidRDefault="006D6265" w:rsidP="006D6265">
      <w:pPr>
        <w:pStyle w:val="Testonotaapidipagina"/>
        <w:spacing w:before="100" w:beforeAutospacing="1" w:after="100" w:afterAutospacing="1" w:line="360" w:lineRule="auto"/>
        <w:ind w:right="567" w:firstLine="567"/>
        <w:jc w:val="both"/>
        <w:rPr>
          <w:rFonts w:ascii="Times New Roman" w:hAnsi="Times New Roman"/>
          <w:sz w:val="24"/>
          <w:szCs w:val="24"/>
        </w:rPr>
      </w:pPr>
    </w:p>
    <w:p w14:paraId="79CF292A" w14:textId="77777777" w:rsidR="00C947BB" w:rsidRPr="00CF4C73" w:rsidRDefault="00C947BB" w:rsidP="006D6265">
      <w:pPr>
        <w:pStyle w:val="Testonotaapidipagina"/>
        <w:spacing w:before="100" w:beforeAutospacing="1" w:after="100" w:afterAutospacing="1" w:line="360" w:lineRule="auto"/>
        <w:ind w:right="567"/>
        <w:jc w:val="both"/>
        <w:rPr>
          <w:rFonts w:ascii="Times New Roman" w:hAnsi="Times New Roman"/>
          <w:i/>
          <w:sz w:val="24"/>
          <w:szCs w:val="24"/>
        </w:rPr>
      </w:pPr>
      <w:r w:rsidRPr="00CF4C73">
        <w:rPr>
          <w:rFonts w:ascii="Times New Roman" w:hAnsi="Times New Roman"/>
          <w:i/>
          <w:sz w:val="24"/>
          <w:szCs w:val="24"/>
        </w:rPr>
        <w:t>1848-</w:t>
      </w:r>
      <w:r w:rsidR="00BB14EC">
        <w:rPr>
          <w:rFonts w:ascii="Times New Roman" w:hAnsi="Times New Roman"/>
          <w:i/>
          <w:sz w:val="24"/>
          <w:szCs w:val="24"/>
        </w:rPr>
        <w:t>18</w:t>
      </w:r>
      <w:r w:rsidRPr="00CF4C73">
        <w:rPr>
          <w:rFonts w:ascii="Times New Roman" w:hAnsi="Times New Roman"/>
          <w:i/>
          <w:sz w:val="24"/>
          <w:szCs w:val="24"/>
        </w:rPr>
        <w:t>49:</w:t>
      </w:r>
      <w:r>
        <w:rPr>
          <w:rFonts w:ascii="Times New Roman" w:hAnsi="Times New Roman"/>
          <w:i/>
          <w:sz w:val="24"/>
          <w:szCs w:val="24"/>
        </w:rPr>
        <w:t xml:space="preserve"> rivoluzione e guerra fra Austria e Ungheria</w:t>
      </w:r>
    </w:p>
    <w:p w14:paraId="77AB0D94" w14:textId="296AAC78" w:rsidR="0027158F" w:rsidRDefault="00C947BB" w:rsidP="0086525D">
      <w:pPr>
        <w:pStyle w:val="Testonotaapidipagina"/>
        <w:spacing w:before="100" w:beforeAutospacing="1" w:after="100" w:afterAutospacing="1" w:line="360" w:lineRule="auto"/>
        <w:ind w:right="567"/>
        <w:jc w:val="both"/>
        <w:rPr>
          <w:rFonts w:ascii="Times New Roman" w:hAnsi="Times New Roman"/>
          <w:sz w:val="24"/>
          <w:szCs w:val="24"/>
        </w:rPr>
      </w:pPr>
      <w:r>
        <w:rPr>
          <w:rFonts w:ascii="Times New Roman" w:hAnsi="Times New Roman"/>
          <w:sz w:val="24"/>
          <w:szCs w:val="24"/>
        </w:rPr>
        <w:t>La</w:t>
      </w:r>
      <w:r w:rsidR="008D3E27">
        <w:rPr>
          <w:rFonts w:ascii="Times New Roman" w:hAnsi="Times New Roman"/>
          <w:sz w:val="24"/>
          <w:szCs w:val="24"/>
        </w:rPr>
        <w:t xml:space="preserve"> rivoluzione del 1848 </w:t>
      </w:r>
      <w:r w:rsidR="00611EB6">
        <w:rPr>
          <w:rFonts w:ascii="Times New Roman" w:hAnsi="Times New Roman"/>
          <w:sz w:val="24"/>
          <w:szCs w:val="24"/>
        </w:rPr>
        <w:t>nei territori asburgici</w:t>
      </w:r>
      <w:r w:rsidR="008D3E27">
        <w:rPr>
          <w:rFonts w:ascii="Times New Roman" w:hAnsi="Times New Roman"/>
          <w:sz w:val="24"/>
          <w:szCs w:val="24"/>
        </w:rPr>
        <w:t xml:space="preserve"> meritò l’appellativo di ‘primavera dei popoli’</w:t>
      </w:r>
      <w:r w:rsidR="00611EB6">
        <w:rPr>
          <w:rFonts w:ascii="Times New Roman" w:hAnsi="Times New Roman"/>
          <w:sz w:val="24"/>
          <w:szCs w:val="24"/>
        </w:rPr>
        <w:t xml:space="preserve"> </w:t>
      </w:r>
      <w:r w:rsidR="008D3E27">
        <w:rPr>
          <w:rFonts w:ascii="Times New Roman" w:hAnsi="Times New Roman"/>
          <w:sz w:val="24"/>
          <w:szCs w:val="24"/>
        </w:rPr>
        <w:t>per lo spiccato carattere</w:t>
      </w:r>
      <w:r w:rsidR="001E0971">
        <w:rPr>
          <w:rFonts w:ascii="Times New Roman" w:hAnsi="Times New Roman"/>
          <w:sz w:val="24"/>
          <w:szCs w:val="24"/>
        </w:rPr>
        <w:t xml:space="preserve"> nazionale. </w:t>
      </w:r>
      <w:r w:rsidR="003306E4">
        <w:rPr>
          <w:rFonts w:ascii="Times New Roman" w:hAnsi="Times New Roman"/>
          <w:sz w:val="24"/>
          <w:szCs w:val="24"/>
        </w:rPr>
        <w:t>N</w:t>
      </w:r>
      <w:r>
        <w:rPr>
          <w:rFonts w:ascii="Times New Roman" w:hAnsi="Times New Roman"/>
          <w:sz w:val="24"/>
          <w:szCs w:val="24"/>
        </w:rPr>
        <w:t>el Regno Lomba</w:t>
      </w:r>
      <w:r w:rsidR="003306E4">
        <w:rPr>
          <w:rFonts w:ascii="Times New Roman" w:hAnsi="Times New Roman"/>
          <w:sz w:val="24"/>
          <w:szCs w:val="24"/>
        </w:rPr>
        <w:t>rdo-Veneto gli italiani</w:t>
      </w:r>
      <w:r w:rsidR="008D3E27">
        <w:rPr>
          <w:rFonts w:ascii="Times New Roman" w:hAnsi="Times New Roman"/>
          <w:sz w:val="24"/>
          <w:szCs w:val="24"/>
        </w:rPr>
        <w:t xml:space="preserve"> diedero ai moti nazionali di chiara ispirazione liberale </w:t>
      </w:r>
      <w:r>
        <w:rPr>
          <w:rFonts w:ascii="Times New Roman" w:hAnsi="Times New Roman"/>
          <w:sz w:val="24"/>
          <w:szCs w:val="24"/>
        </w:rPr>
        <w:t>un obiettivo che non era quello dei rivoluzio</w:t>
      </w:r>
      <w:r w:rsidR="001E0971">
        <w:rPr>
          <w:rFonts w:ascii="Times New Roman" w:hAnsi="Times New Roman"/>
          <w:sz w:val="24"/>
          <w:szCs w:val="24"/>
        </w:rPr>
        <w:t xml:space="preserve">nari a Vienna, a Praga, </w:t>
      </w:r>
      <w:r>
        <w:rPr>
          <w:rFonts w:ascii="Times New Roman" w:hAnsi="Times New Roman"/>
          <w:sz w:val="24"/>
          <w:szCs w:val="24"/>
        </w:rPr>
        <w:t xml:space="preserve">a </w:t>
      </w:r>
      <w:commentRangeStart w:id="28"/>
      <w:commentRangeStart w:id="29"/>
      <w:r>
        <w:rPr>
          <w:rFonts w:ascii="Times New Roman" w:hAnsi="Times New Roman"/>
          <w:sz w:val="24"/>
          <w:szCs w:val="24"/>
        </w:rPr>
        <w:t>Pest-Buda</w:t>
      </w:r>
      <w:commentRangeEnd w:id="28"/>
      <w:r w:rsidR="0027158F">
        <w:rPr>
          <w:rStyle w:val="Rimandocommento"/>
        </w:rPr>
        <w:commentReference w:id="28"/>
      </w:r>
      <w:commentRangeEnd w:id="29"/>
      <w:r w:rsidR="00174ADB">
        <w:rPr>
          <w:rStyle w:val="Rimandocommento"/>
        </w:rPr>
        <w:commentReference w:id="29"/>
      </w:r>
      <w:r w:rsidR="007D06EB">
        <w:rPr>
          <w:rStyle w:val="Rimandonotaapidipagina"/>
          <w:rFonts w:ascii="Times New Roman" w:hAnsi="Times New Roman"/>
          <w:sz w:val="24"/>
          <w:szCs w:val="24"/>
        </w:rPr>
        <w:footnoteReference w:id="25"/>
      </w:r>
      <w:r>
        <w:rPr>
          <w:rFonts w:ascii="Times New Roman" w:hAnsi="Times New Roman"/>
          <w:sz w:val="24"/>
          <w:szCs w:val="24"/>
        </w:rPr>
        <w:t>: porre fine all’</w:t>
      </w:r>
      <w:r w:rsidR="0027158F">
        <w:rPr>
          <w:rFonts w:ascii="Times New Roman" w:hAnsi="Times New Roman"/>
          <w:sz w:val="24"/>
          <w:szCs w:val="24"/>
        </w:rPr>
        <w:t>egemonia asburgica sull’Italia.</w:t>
      </w:r>
    </w:p>
    <w:p w14:paraId="7834EFE2" w14:textId="646460E3" w:rsidR="00DC6E50" w:rsidRDefault="00C947BB" w:rsidP="006D6265">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L’instaurazione di un regime liberale e il rispetto delle prerogative nazionali, lingua, cultura e autonomia politica, costituivano il nucleo fondamentale delle istanze rivoluzionarie</w:t>
      </w:r>
      <w:r w:rsidR="00990739">
        <w:rPr>
          <w:rFonts w:ascii="Times New Roman" w:hAnsi="Times New Roman"/>
          <w:sz w:val="24"/>
          <w:szCs w:val="24"/>
        </w:rPr>
        <w:t xml:space="preserve"> nella Monarchia degli Asburgo</w:t>
      </w:r>
      <w:r>
        <w:rPr>
          <w:rFonts w:ascii="Times New Roman" w:hAnsi="Times New Roman"/>
          <w:sz w:val="24"/>
          <w:szCs w:val="24"/>
        </w:rPr>
        <w:t>. All’indomani della cadut</w:t>
      </w:r>
      <w:r w:rsidR="00A053F6">
        <w:rPr>
          <w:rFonts w:ascii="Times New Roman" w:hAnsi="Times New Roman"/>
          <w:sz w:val="24"/>
          <w:szCs w:val="24"/>
        </w:rPr>
        <w:t>a di Metternich a Vienna</w:t>
      </w:r>
      <w:r w:rsidR="00DC6E50">
        <w:rPr>
          <w:rFonts w:ascii="Times New Roman" w:hAnsi="Times New Roman"/>
          <w:sz w:val="24"/>
          <w:szCs w:val="24"/>
        </w:rPr>
        <w:t xml:space="preserve">, </w:t>
      </w:r>
      <w:r w:rsidR="00AB5CED">
        <w:rPr>
          <w:rFonts w:ascii="Times New Roman" w:hAnsi="Times New Roman"/>
          <w:sz w:val="24"/>
          <w:szCs w:val="24"/>
        </w:rPr>
        <w:t>giunse a compimento anche</w:t>
      </w:r>
      <w:commentRangeStart w:id="30"/>
      <w:commentRangeStart w:id="31"/>
      <w:r>
        <w:rPr>
          <w:rFonts w:ascii="Times New Roman" w:hAnsi="Times New Roman"/>
          <w:sz w:val="24"/>
          <w:szCs w:val="24"/>
        </w:rPr>
        <w:t xml:space="preserve"> </w:t>
      </w:r>
      <w:r w:rsidR="00AB5CED">
        <w:rPr>
          <w:rFonts w:ascii="Times New Roman" w:hAnsi="Times New Roman"/>
          <w:sz w:val="24"/>
          <w:szCs w:val="24"/>
        </w:rPr>
        <w:t>l</w:t>
      </w:r>
      <w:r>
        <w:rPr>
          <w:rFonts w:ascii="Times New Roman" w:hAnsi="Times New Roman"/>
          <w:sz w:val="24"/>
          <w:szCs w:val="24"/>
        </w:rPr>
        <w:t xml:space="preserve">a </w:t>
      </w:r>
      <w:r w:rsidR="00DC6E50">
        <w:rPr>
          <w:rFonts w:ascii="Times New Roman" w:hAnsi="Times New Roman"/>
          <w:sz w:val="24"/>
          <w:szCs w:val="24"/>
        </w:rPr>
        <w:t>«rivoluzione legale»</w:t>
      </w:r>
      <w:commentRangeStart w:id="32"/>
      <w:commentRangeStart w:id="33"/>
      <w:r>
        <w:rPr>
          <w:rStyle w:val="Rimandonotaapidipagina"/>
          <w:rFonts w:ascii="Times New Roman" w:hAnsi="Times New Roman"/>
          <w:sz w:val="24"/>
          <w:szCs w:val="24"/>
        </w:rPr>
        <w:footnoteReference w:id="26"/>
      </w:r>
      <w:commentRangeEnd w:id="32"/>
      <w:r w:rsidR="00F51978">
        <w:rPr>
          <w:rStyle w:val="Rimandocommento"/>
        </w:rPr>
        <w:commentReference w:id="32"/>
      </w:r>
      <w:commentRangeEnd w:id="33"/>
      <w:r w:rsidR="00AB5CED">
        <w:rPr>
          <w:rStyle w:val="Rimandocommento"/>
        </w:rPr>
        <w:commentReference w:id="33"/>
      </w:r>
      <w:r>
        <w:rPr>
          <w:rFonts w:ascii="Times New Roman" w:hAnsi="Times New Roman"/>
          <w:sz w:val="24"/>
          <w:szCs w:val="24"/>
        </w:rPr>
        <w:t xml:space="preserve"> ungherese del</w:t>
      </w:r>
      <w:r w:rsidR="00AB5CED">
        <w:rPr>
          <w:rFonts w:ascii="Times New Roman" w:hAnsi="Times New Roman"/>
          <w:sz w:val="24"/>
          <w:szCs w:val="24"/>
        </w:rPr>
        <w:t xml:space="preserve"> 15</w:t>
      </w:r>
      <w:r>
        <w:rPr>
          <w:rFonts w:ascii="Times New Roman" w:hAnsi="Times New Roman"/>
          <w:sz w:val="24"/>
          <w:szCs w:val="24"/>
        </w:rPr>
        <w:t xml:space="preserve"> marzo 1848</w:t>
      </w:r>
      <w:r w:rsidR="00AB5CED">
        <w:rPr>
          <w:rFonts w:ascii="Times New Roman" w:hAnsi="Times New Roman"/>
          <w:sz w:val="24"/>
          <w:szCs w:val="24"/>
        </w:rPr>
        <w:t xml:space="preserve">, </w:t>
      </w:r>
      <w:r w:rsidRPr="00895B06">
        <w:rPr>
          <w:rFonts w:ascii="Times New Roman" w:hAnsi="Times New Roman"/>
          <w:sz w:val="24"/>
          <w:szCs w:val="24"/>
        </w:rPr>
        <w:t>con l’acc</w:t>
      </w:r>
      <w:r w:rsidR="00AB5CED">
        <w:rPr>
          <w:rFonts w:ascii="Times New Roman" w:hAnsi="Times New Roman"/>
          <w:sz w:val="24"/>
          <w:szCs w:val="24"/>
        </w:rPr>
        <w:t xml:space="preserve">ettazione </w:t>
      </w:r>
      <w:r w:rsidR="00AB5CED">
        <w:rPr>
          <w:rFonts w:ascii="Times New Roman" w:hAnsi="Times New Roman"/>
          <w:sz w:val="24"/>
          <w:szCs w:val="24"/>
        </w:rPr>
        <w:lastRenderedPageBreak/>
        <w:t>da parte imperiale</w:t>
      </w:r>
      <w:r w:rsidR="00DC6E50">
        <w:rPr>
          <w:rFonts w:ascii="Times New Roman" w:hAnsi="Times New Roman"/>
          <w:sz w:val="24"/>
          <w:szCs w:val="24"/>
        </w:rPr>
        <w:t xml:space="preserve"> d’</w:t>
      </w:r>
      <w:r w:rsidRPr="00895B06">
        <w:rPr>
          <w:rFonts w:ascii="Times New Roman" w:hAnsi="Times New Roman"/>
          <w:sz w:val="24"/>
          <w:szCs w:val="24"/>
        </w:rPr>
        <w:t>u</w:t>
      </w:r>
      <w:r>
        <w:rPr>
          <w:rFonts w:ascii="Times New Roman" w:hAnsi="Times New Roman"/>
          <w:sz w:val="24"/>
          <w:szCs w:val="24"/>
        </w:rPr>
        <w:t>n governo responsabile</w:t>
      </w:r>
      <w:r w:rsidRPr="00895B06">
        <w:rPr>
          <w:rFonts w:ascii="Times New Roman" w:hAnsi="Times New Roman"/>
          <w:sz w:val="24"/>
          <w:szCs w:val="24"/>
        </w:rPr>
        <w:t xml:space="preserve"> e </w:t>
      </w:r>
      <w:r w:rsidR="00A053F6">
        <w:rPr>
          <w:rFonts w:ascii="Times New Roman" w:hAnsi="Times New Roman"/>
          <w:sz w:val="24"/>
          <w:szCs w:val="24"/>
        </w:rPr>
        <w:t>di un disegno</w:t>
      </w:r>
      <w:r w:rsidRPr="00895B06">
        <w:rPr>
          <w:rFonts w:ascii="Times New Roman" w:hAnsi="Times New Roman"/>
          <w:sz w:val="24"/>
          <w:szCs w:val="24"/>
        </w:rPr>
        <w:t xml:space="preserve"> legislativo</w:t>
      </w:r>
      <w:r>
        <w:rPr>
          <w:rFonts w:ascii="Times New Roman" w:hAnsi="Times New Roman"/>
          <w:sz w:val="24"/>
          <w:szCs w:val="24"/>
        </w:rPr>
        <w:t xml:space="preserve"> che cancellava le ultime vestigia feudali nel regno di Santo Stefano</w:t>
      </w:r>
      <w:commentRangeEnd w:id="30"/>
      <w:r w:rsidR="00DC6E50">
        <w:rPr>
          <w:rStyle w:val="Rimandocommento"/>
        </w:rPr>
        <w:commentReference w:id="30"/>
      </w:r>
      <w:commentRangeEnd w:id="31"/>
      <w:r w:rsidR="00AB5CED">
        <w:rPr>
          <w:rStyle w:val="Rimandocommento"/>
        </w:rPr>
        <w:commentReference w:id="31"/>
      </w:r>
      <w:r>
        <w:rPr>
          <w:rFonts w:ascii="Times New Roman" w:hAnsi="Times New Roman"/>
          <w:sz w:val="24"/>
          <w:szCs w:val="24"/>
        </w:rPr>
        <w:t>.</w:t>
      </w:r>
    </w:p>
    <w:p w14:paraId="33ABF666" w14:textId="7FBCE5D7" w:rsidR="0095699B" w:rsidRDefault="00C947BB" w:rsidP="00C062F9">
      <w:pPr>
        <w:pStyle w:val="Testonotaapidipagina"/>
        <w:spacing w:before="100" w:beforeAutospacing="1" w:after="100" w:afterAutospacing="1" w:line="360" w:lineRule="auto"/>
        <w:ind w:right="567" w:firstLine="567"/>
        <w:jc w:val="both"/>
        <w:rPr>
          <w:rFonts w:ascii="Times New Roman" w:hAnsi="Times New Roman"/>
          <w:sz w:val="24"/>
          <w:szCs w:val="24"/>
        </w:rPr>
      </w:pPr>
      <w:commentRangeStart w:id="34"/>
      <w:r>
        <w:rPr>
          <w:rFonts w:ascii="Times New Roman" w:hAnsi="Times New Roman"/>
          <w:sz w:val="24"/>
          <w:szCs w:val="24"/>
        </w:rPr>
        <w:t>Nella primavera del 1848 Austria e Ungheria erano</w:t>
      </w:r>
      <w:r w:rsidR="00A053F6">
        <w:rPr>
          <w:rFonts w:ascii="Times New Roman" w:hAnsi="Times New Roman"/>
          <w:sz w:val="24"/>
          <w:szCs w:val="24"/>
        </w:rPr>
        <w:t xml:space="preserve"> divenute</w:t>
      </w:r>
      <w:r>
        <w:rPr>
          <w:rFonts w:ascii="Times New Roman" w:hAnsi="Times New Roman"/>
          <w:sz w:val="24"/>
          <w:szCs w:val="24"/>
        </w:rPr>
        <w:t xml:space="preserve"> entità costituzionali e liberali</w:t>
      </w:r>
      <w:commentRangeEnd w:id="34"/>
      <w:r w:rsidR="00DC6E50">
        <w:rPr>
          <w:rStyle w:val="Rimandocommento"/>
        </w:rPr>
        <w:commentReference w:id="34"/>
      </w:r>
      <w:r w:rsidR="0038230A">
        <w:rPr>
          <w:rFonts w:ascii="Times New Roman" w:hAnsi="Times New Roman"/>
          <w:sz w:val="24"/>
          <w:szCs w:val="24"/>
        </w:rPr>
        <w:t xml:space="preserve">, unite dalla persona del monarca. Dovevano però ancora essere discusse </w:t>
      </w:r>
      <w:r>
        <w:rPr>
          <w:rFonts w:ascii="Times New Roman" w:hAnsi="Times New Roman"/>
          <w:sz w:val="24"/>
          <w:szCs w:val="24"/>
        </w:rPr>
        <w:t xml:space="preserve">questioni non secondarie, nazionali e militari, </w:t>
      </w:r>
      <w:r w:rsidR="00AB5CED">
        <w:rPr>
          <w:rFonts w:ascii="Times New Roman" w:hAnsi="Times New Roman"/>
          <w:sz w:val="24"/>
          <w:szCs w:val="24"/>
        </w:rPr>
        <w:t>che l’impegno austriaco</w:t>
      </w:r>
      <w:r w:rsidR="0038230A">
        <w:rPr>
          <w:rFonts w:ascii="Times New Roman" w:hAnsi="Times New Roman"/>
          <w:sz w:val="24"/>
          <w:szCs w:val="24"/>
        </w:rPr>
        <w:t xml:space="preserve"> in Italia e le tensioni fra il governo ungherese e i rappresentanti dei movimenti nazionali non magiari in Ungheria procrastinarono, generando reciproca diffidenza e facendo poi</w:t>
      </w:r>
      <w:r>
        <w:rPr>
          <w:rFonts w:ascii="Times New Roman" w:hAnsi="Times New Roman"/>
          <w:sz w:val="24"/>
          <w:szCs w:val="24"/>
        </w:rPr>
        <w:t xml:space="preserve"> precipitare la sit</w:t>
      </w:r>
      <w:r w:rsidR="0038230A">
        <w:rPr>
          <w:rFonts w:ascii="Times New Roman" w:hAnsi="Times New Roman"/>
          <w:sz w:val="24"/>
          <w:szCs w:val="24"/>
        </w:rPr>
        <w:t>uazione in un confli</w:t>
      </w:r>
      <w:r w:rsidR="00AB5CED">
        <w:rPr>
          <w:rFonts w:ascii="Times New Roman" w:hAnsi="Times New Roman"/>
          <w:sz w:val="24"/>
          <w:szCs w:val="24"/>
        </w:rPr>
        <w:t>tto armato. L’Austria</w:t>
      </w:r>
      <w:r>
        <w:rPr>
          <w:rFonts w:ascii="Times New Roman" w:hAnsi="Times New Roman"/>
          <w:sz w:val="24"/>
          <w:szCs w:val="24"/>
        </w:rPr>
        <w:t xml:space="preserve"> aveva biso</w:t>
      </w:r>
      <w:r w:rsidR="00D71919">
        <w:rPr>
          <w:rFonts w:ascii="Times New Roman" w:hAnsi="Times New Roman"/>
          <w:sz w:val="24"/>
          <w:szCs w:val="24"/>
        </w:rPr>
        <w:t>gno del contributo militare</w:t>
      </w:r>
      <w:r w:rsidR="0038230A">
        <w:rPr>
          <w:rFonts w:ascii="Times New Roman" w:hAnsi="Times New Roman"/>
          <w:sz w:val="24"/>
          <w:szCs w:val="24"/>
        </w:rPr>
        <w:t xml:space="preserve"> ungherese</w:t>
      </w:r>
      <w:r>
        <w:rPr>
          <w:rFonts w:ascii="Times New Roman" w:hAnsi="Times New Roman"/>
          <w:sz w:val="24"/>
          <w:szCs w:val="24"/>
        </w:rPr>
        <w:t xml:space="preserve"> per combattere la</w:t>
      </w:r>
      <w:r w:rsidR="00DA6F94">
        <w:rPr>
          <w:rFonts w:ascii="Times New Roman" w:hAnsi="Times New Roman"/>
          <w:sz w:val="24"/>
          <w:szCs w:val="24"/>
        </w:rPr>
        <w:t xml:space="preserve"> rivoluzione in Italia, trasformatasi </w:t>
      </w:r>
      <w:r>
        <w:rPr>
          <w:rFonts w:ascii="Times New Roman" w:hAnsi="Times New Roman"/>
          <w:sz w:val="24"/>
          <w:szCs w:val="24"/>
        </w:rPr>
        <w:t>in una guerra degli Stati italiani contro gli Asburgo. All</w:t>
      </w:r>
      <w:r w:rsidRPr="003553F9">
        <w:rPr>
          <w:rFonts w:ascii="Times New Roman" w:hAnsi="Times New Roman"/>
          <w:sz w:val="24"/>
          <w:szCs w:val="24"/>
        </w:rPr>
        <w:t>’indom</w:t>
      </w:r>
      <w:r w:rsidR="008E2119">
        <w:rPr>
          <w:rFonts w:ascii="Times New Roman" w:hAnsi="Times New Roman"/>
          <w:sz w:val="24"/>
          <w:szCs w:val="24"/>
        </w:rPr>
        <w:t>ani delle concessioni ottenute d</w:t>
      </w:r>
      <w:r w:rsidRPr="003553F9">
        <w:rPr>
          <w:rFonts w:ascii="Times New Roman" w:hAnsi="Times New Roman"/>
          <w:sz w:val="24"/>
          <w:szCs w:val="24"/>
        </w:rPr>
        <w:t>a</w:t>
      </w:r>
      <w:r w:rsidR="008E2119">
        <w:rPr>
          <w:rFonts w:ascii="Times New Roman" w:hAnsi="Times New Roman"/>
          <w:sz w:val="24"/>
          <w:szCs w:val="24"/>
        </w:rPr>
        <w:t xml:space="preserve"> Vienna, gli ungheresi </w:t>
      </w:r>
      <w:r w:rsidR="00462B86">
        <w:rPr>
          <w:rFonts w:ascii="Times New Roman" w:hAnsi="Times New Roman"/>
          <w:sz w:val="24"/>
          <w:szCs w:val="24"/>
        </w:rPr>
        <w:t>avevano fronteggiato</w:t>
      </w:r>
      <w:r w:rsidRPr="003553F9">
        <w:rPr>
          <w:rFonts w:ascii="Times New Roman" w:hAnsi="Times New Roman"/>
          <w:sz w:val="24"/>
          <w:szCs w:val="24"/>
        </w:rPr>
        <w:t xml:space="preserve"> analoghe rivendicazioni da parte dei grupp</w:t>
      </w:r>
      <w:r w:rsidR="0038230A">
        <w:rPr>
          <w:rFonts w:ascii="Times New Roman" w:hAnsi="Times New Roman"/>
          <w:sz w:val="24"/>
          <w:szCs w:val="24"/>
        </w:rPr>
        <w:t>i nazionali del regno</w:t>
      </w:r>
      <w:r w:rsidR="00C062F9">
        <w:rPr>
          <w:rFonts w:ascii="Times New Roman" w:hAnsi="Times New Roman"/>
          <w:sz w:val="24"/>
          <w:szCs w:val="24"/>
        </w:rPr>
        <w:t>, portatori di forti istanze</w:t>
      </w:r>
      <w:r w:rsidR="005C4377">
        <w:rPr>
          <w:rFonts w:ascii="Times New Roman" w:hAnsi="Times New Roman"/>
          <w:sz w:val="24"/>
          <w:szCs w:val="24"/>
        </w:rPr>
        <w:t xml:space="preserve"> autonomistiche</w:t>
      </w:r>
      <w:r w:rsidR="00D71919">
        <w:rPr>
          <w:rFonts w:ascii="Times New Roman" w:hAnsi="Times New Roman"/>
          <w:sz w:val="24"/>
          <w:szCs w:val="24"/>
        </w:rPr>
        <w:t>. La</w:t>
      </w:r>
      <w:r w:rsidR="00D97FBB">
        <w:rPr>
          <w:rFonts w:ascii="Times New Roman" w:hAnsi="Times New Roman"/>
          <w:sz w:val="24"/>
          <w:szCs w:val="24"/>
        </w:rPr>
        <w:t xml:space="preserve"> concezione de</w:t>
      </w:r>
      <w:r>
        <w:rPr>
          <w:rFonts w:ascii="Times New Roman" w:hAnsi="Times New Roman"/>
          <w:sz w:val="24"/>
          <w:szCs w:val="24"/>
        </w:rPr>
        <w:t>i patrio</w:t>
      </w:r>
      <w:r w:rsidR="00D97FBB">
        <w:rPr>
          <w:rFonts w:ascii="Times New Roman" w:hAnsi="Times New Roman"/>
          <w:sz w:val="24"/>
          <w:szCs w:val="24"/>
        </w:rPr>
        <w:t>ti ungheresi sul</w:t>
      </w:r>
      <w:r w:rsidR="0038230A">
        <w:rPr>
          <w:rFonts w:ascii="Times New Roman" w:hAnsi="Times New Roman"/>
          <w:sz w:val="24"/>
          <w:szCs w:val="24"/>
        </w:rPr>
        <w:t xml:space="preserve"> f</w:t>
      </w:r>
      <w:r>
        <w:rPr>
          <w:rFonts w:ascii="Times New Roman" w:hAnsi="Times New Roman"/>
          <w:sz w:val="24"/>
          <w:szCs w:val="24"/>
        </w:rPr>
        <w:t>uturo del loro Stato escludeva un</w:t>
      </w:r>
      <w:r w:rsidR="00D71919">
        <w:rPr>
          <w:rFonts w:ascii="Times New Roman" w:hAnsi="Times New Roman"/>
          <w:sz w:val="24"/>
          <w:szCs w:val="24"/>
        </w:rPr>
        <w:t>a soluzione federale: auspicava</w:t>
      </w:r>
      <w:r>
        <w:rPr>
          <w:rFonts w:ascii="Times New Roman" w:hAnsi="Times New Roman"/>
          <w:sz w:val="24"/>
          <w:szCs w:val="24"/>
        </w:rPr>
        <w:t xml:space="preserve"> anzi una maggiore coesione nazionale attraverso la salda union</w:t>
      </w:r>
      <w:r w:rsidR="0038230A">
        <w:rPr>
          <w:rFonts w:ascii="Times New Roman" w:hAnsi="Times New Roman"/>
          <w:sz w:val="24"/>
          <w:szCs w:val="24"/>
        </w:rPr>
        <w:t>e dell’Ungheria con la Transilvania</w:t>
      </w:r>
      <w:r w:rsidR="004272C9">
        <w:rPr>
          <w:rStyle w:val="Rimandonotaapidipagina"/>
          <w:rFonts w:ascii="Times New Roman" w:hAnsi="Times New Roman"/>
          <w:sz w:val="24"/>
          <w:szCs w:val="24"/>
        </w:rPr>
        <w:footnoteReference w:id="27"/>
      </w:r>
      <w:r w:rsidR="0038230A">
        <w:rPr>
          <w:rFonts w:ascii="Times New Roman" w:hAnsi="Times New Roman"/>
          <w:sz w:val="24"/>
          <w:szCs w:val="24"/>
        </w:rPr>
        <w:t xml:space="preserve"> </w:t>
      </w:r>
      <w:r>
        <w:rPr>
          <w:rFonts w:ascii="Times New Roman" w:hAnsi="Times New Roman"/>
          <w:sz w:val="24"/>
          <w:szCs w:val="24"/>
        </w:rPr>
        <w:t xml:space="preserve">e l’adozione del magiaro come lingua ufficiale. </w:t>
      </w:r>
      <w:commentRangeStart w:id="35"/>
      <w:r>
        <w:rPr>
          <w:rFonts w:ascii="Times New Roman" w:hAnsi="Times New Roman"/>
          <w:sz w:val="24"/>
          <w:szCs w:val="24"/>
        </w:rPr>
        <w:t>Moderati e radicali condividevano questa visione</w:t>
      </w:r>
      <w:commentRangeEnd w:id="35"/>
      <w:r w:rsidR="0095699B">
        <w:rPr>
          <w:rStyle w:val="Rimandocommento"/>
        </w:rPr>
        <w:commentReference w:id="35"/>
      </w:r>
      <w:r>
        <w:rPr>
          <w:rFonts w:ascii="Times New Roman" w:hAnsi="Times New Roman"/>
          <w:sz w:val="24"/>
          <w:szCs w:val="24"/>
        </w:rPr>
        <w:t>, in</w:t>
      </w:r>
      <w:r w:rsidR="0094130C">
        <w:rPr>
          <w:rFonts w:ascii="Times New Roman" w:hAnsi="Times New Roman"/>
          <w:sz w:val="24"/>
          <w:szCs w:val="24"/>
        </w:rPr>
        <w:t>fluenzata dallo scarso peso demografico degli ungheresi</w:t>
      </w:r>
      <w:r w:rsidR="0094130C">
        <w:rPr>
          <w:rStyle w:val="Rimandonotaapidipagina"/>
          <w:rFonts w:ascii="Times New Roman" w:hAnsi="Times New Roman"/>
          <w:sz w:val="24"/>
          <w:szCs w:val="24"/>
        </w:rPr>
        <w:footnoteReference w:id="28"/>
      </w:r>
      <w:r w:rsidR="0094130C">
        <w:rPr>
          <w:rFonts w:ascii="Times New Roman" w:hAnsi="Times New Roman"/>
          <w:sz w:val="24"/>
          <w:szCs w:val="24"/>
        </w:rPr>
        <w:t xml:space="preserve"> e dalla</w:t>
      </w:r>
      <w:r w:rsidR="00863017">
        <w:rPr>
          <w:rFonts w:ascii="Times New Roman" w:hAnsi="Times New Roman"/>
          <w:sz w:val="24"/>
          <w:szCs w:val="24"/>
        </w:rPr>
        <w:t xml:space="preserve"> fosca prospettiva</w:t>
      </w:r>
      <w:r w:rsidR="00385A74">
        <w:rPr>
          <w:rFonts w:ascii="Times New Roman" w:hAnsi="Times New Roman"/>
          <w:sz w:val="24"/>
          <w:szCs w:val="24"/>
        </w:rPr>
        <w:t xml:space="preserve"> del</w:t>
      </w:r>
      <w:r>
        <w:rPr>
          <w:rFonts w:ascii="Times New Roman" w:hAnsi="Times New Roman"/>
          <w:sz w:val="24"/>
          <w:szCs w:val="24"/>
        </w:rPr>
        <w:t xml:space="preserve">la morte della </w:t>
      </w:r>
      <w:r w:rsidRPr="0038230A">
        <w:rPr>
          <w:rFonts w:ascii="Times New Roman" w:hAnsi="Times New Roman"/>
          <w:sz w:val="24"/>
          <w:szCs w:val="24"/>
        </w:rPr>
        <w:t>nazione</w:t>
      </w:r>
      <w:r w:rsidR="00344EB6">
        <w:rPr>
          <w:rStyle w:val="Rimandonotaapidipagina"/>
          <w:rFonts w:ascii="Times New Roman" w:hAnsi="Times New Roman"/>
          <w:sz w:val="24"/>
          <w:szCs w:val="24"/>
        </w:rPr>
        <w:footnoteReference w:id="29"/>
      </w:r>
      <w:r w:rsidR="00D97FBB">
        <w:rPr>
          <w:rFonts w:ascii="Times New Roman" w:hAnsi="Times New Roman"/>
          <w:sz w:val="24"/>
          <w:szCs w:val="24"/>
        </w:rPr>
        <w:t>,</w:t>
      </w:r>
      <w:r w:rsidR="0094130C">
        <w:rPr>
          <w:rFonts w:ascii="Times New Roman" w:hAnsi="Times New Roman"/>
          <w:sz w:val="24"/>
          <w:szCs w:val="24"/>
        </w:rPr>
        <w:t xml:space="preserve"> schiacciata</w:t>
      </w:r>
      <w:r>
        <w:rPr>
          <w:rFonts w:ascii="Times New Roman" w:hAnsi="Times New Roman"/>
          <w:sz w:val="24"/>
          <w:szCs w:val="24"/>
        </w:rPr>
        <w:t xml:space="preserve"> tra il più forte conglomerato di n</w:t>
      </w:r>
      <w:r w:rsidR="00863017">
        <w:rPr>
          <w:rFonts w:ascii="Times New Roman" w:hAnsi="Times New Roman"/>
          <w:sz w:val="24"/>
          <w:szCs w:val="24"/>
        </w:rPr>
        <w:t xml:space="preserve">azioni slave </w:t>
      </w:r>
      <w:r>
        <w:rPr>
          <w:rFonts w:ascii="Times New Roman" w:hAnsi="Times New Roman"/>
          <w:sz w:val="24"/>
          <w:szCs w:val="24"/>
        </w:rPr>
        <w:t xml:space="preserve">e l’altrettanto possente </w:t>
      </w:r>
      <w:r w:rsidR="00863017">
        <w:rPr>
          <w:rFonts w:ascii="Times New Roman" w:hAnsi="Times New Roman"/>
          <w:sz w:val="24"/>
          <w:szCs w:val="24"/>
        </w:rPr>
        <w:t xml:space="preserve">affermarsi del movimento nazionale </w:t>
      </w:r>
      <w:r w:rsidR="00F024F1">
        <w:rPr>
          <w:rFonts w:ascii="Times New Roman" w:hAnsi="Times New Roman"/>
          <w:sz w:val="24"/>
          <w:szCs w:val="24"/>
        </w:rPr>
        <w:t>tedesco</w:t>
      </w:r>
      <w:r w:rsidR="00A8101B">
        <w:rPr>
          <w:rStyle w:val="Rimandonotaapidipagina"/>
          <w:rFonts w:ascii="Times New Roman" w:hAnsi="Times New Roman"/>
          <w:sz w:val="24"/>
          <w:szCs w:val="24"/>
        </w:rPr>
        <w:footnoteReference w:id="30"/>
      </w:r>
      <w:r w:rsidR="0095699B">
        <w:rPr>
          <w:rFonts w:ascii="Times New Roman" w:hAnsi="Times New Roman"/>
          <w:sz w:val="24"/>
          <w:szCs w:val="24"/>
        </w:rPr>
        <w:t>.</w:t>
      </w:r>
    </w:p>
    <w:p w14:paraId="67187A39" w14:textId="04BC39B0" w:rsidR="007A2B0E" w:rsidRDefault="0094130C" w:rsidP="006D6265">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lastRenderedPageBreak/>
        <w:t>P</w:t>
      </w:r>
      <w:r w:rsidR="00B317FA">
        <w:rPr>
          <w:rFonts w:ascii="Times New Roman" w:hAnsi="Times New Roman"/>
          <w:sz w:val="24"/>
          <w:szCs w:val="24"/>
        </w:rPr>
        <w:t xml:space="preserve">er queste ragioni </w:t>
      </w:r>
      <w:r w:rsidR="00C947BB">
        <w:rPr>
          <w:rFonts w:ascii="Times New Roman" w:hAnsi="Times New Roman"/>
          <w:sz w:val="24"/>
          <w:szCs w:val="24"/>
        </w:rPr>
        <w:t>il governo liberale dell’Ungheria costitu</w:t>
      </w:r>
      <w:r w:rsidR="007A2B0E">
        <w:rPr>
          <w:rFonts w:ascii="Times New Roman" w:hAnsi="Times New Roman"/>
          <w:sz w:val="24"/>
          <w:szCs w:val="24"/>
        </w:rPr>
        <w:t>zionale rigettò le richieste d’</w:t>
      </w:r>
      <w:r w:rsidR="00C947BB">
        <w:rPr>
          <w:rFonts w:ascii="Times New Roman" w:hAnsi="Times New Roman"/>
          <w:sz w:val="24"/>
          <w:szCs w:val="24"/>
        </w:rPr>
        <w:t xml:space="preserve">autonomia </w:t>
      </w:r>
      <w:commentRangeStart w:id="36"/>
      <w:commentRangeStart w:id="37"/>
      <w:r w:rsidR="00C947BB" w:rsidRPr="004137EC">
        <w:rPr>
          <w:rFonts w:ascii="Times New Roman" w:hAnsi="Times New Roman"/>
          <w:sz w:val="24"/>
          <w:szCs w:val="24"/>
        </w:rPr>
        <w:t>nazionale</w:t>
      </w:r>
      <w:commentRangeEnd w:id="36"/>
      <w:r w:rsidR="007A2B0E" w:rsidRPr="004137EC">
        <w:rPr>
          <w:rStyle w:val="Rimandocommento"/>
        </w:rPr>
        <w:commentReference w:id="36"/>
      </w:r>
      <w:commentRangeEnd w:id="37"/>
      <w:r w:rsidR="00AB5CED">
        <w:rPr>
          <w:rStyle w:val="Rimandocommento"/>
        </w:rPr>
        <w:commentReference w:id="37"/>
      </w:r>
      <w:r w:rsidR="00C947BB">
        <w:rPr>
          <w:rFonts w:ascii="Times New Roman" w:hAnsi="Times New Roman"/>
          <w:sz w:val="24"/>
          <w:szCs w:val="24"/>
        </w:rPr>
        <w:t xml:space="preserve"> dei gruppi alloglotti</w:t>
      </w:r>
      <w:r w:rsidR="00621234">
        <w:rPr>
          <w:rFonts w:ascii="Times New Roman" w:hAnsi="Times New Roman"/>
          <w:sz w:val="24"/>
          <w:szCs w:val="24"/>
        </w:rPr>
        <w:t>.</w:t>
      </w:r>
      <w:r w:rsidR="00C947BB">
        <w:rPr>
          <w:rFonts w:ascii="Times New Roman" w:hAnsi="Times New Roman"/>
          <w:sz w:val="24"/>
          <w:szCs w:val="24"/>
        </w:rPr>
        <w:t xml:space="preserve"> Il risul</w:t>
      </w:r>
      <w:r w:rsidR="007A2B0E">
        <w:rPr>
          <w:rFonts w:ascii="Times New Roman" w:hAnsi="Times New Roman"/>
          <w:sz w:val="24"/>
          <w:szCs w:val="24"/>
        </w:rPr>
        <w:t>tato fu il repentino sorgere d’</w:t>
      </w:r>
      <w:r w:rsidR="00C947BB">
        <w:rPr>
          <w:rFonts w:ascii="Times New Roman" w:hAnsi="Times New Roman"/>
          <w:sz w:val="24"/>
          <w:szCs w:val="24"/>
        </w:rPr>
        <w:t>un conflitto armato in Transilvania</w:t>
      </w:r>
      <w:commentRangeStart w:id="38"/>
      <w:commentRangeStart w:id="39"/>
      <w:r w:rsidR="00C947BB">
        <w:rPr>
          <w:rStyle w:val="Rimandonotaapidipagina"/>
          <w:rFonts w:ascii="Times New Roman" w:hAnsi="Times New Roman"/>
          <w:sz w:val="24"/>
          <w:szCs w:val="24"/>
        </w:rPr>
        <w:footnoteReference w:id="31"/>
      </w:r>
      <w:commentRangeEnd w:id="38"/>
      <w:r w:rsidR="002C106C">
        <w:rPr>
          <w:rStyle w:val="Rimandocommento"/>
        </w:rPr>
        <w:commentReference w:id="38"/>
      </w:r>
      <w:commentRangeEnd w:id="39"/>
      <w:r w:rsidR="00AB5CED">
        <w:rPr>
          <w:rStyle w:val="Rimandocommento"/>
        </w:rPr>
        <w:commentReference w:id="39"/>
      </w:r>
      <w:r w:rsidR="00C947BB">
        <w:rPr>
          <w:rFonts w:ascii="Times New Roman" w:hAnsi="Times New Roman"/>
          <w:sz w:val="24"/>
          <w:szCs w:val="24"/>
        </w:rPr>
        <w:t xml:space="preserve"> e nell’Ungheria meridionale, nel </w:t>
      </w:r>
      <w:r w:rsidR="007A2B0E">
        <w:rPr>
          <w:rFonts w:ascii="Times New Roman" w:hAnsi="Times New Roman"/>
          <w:sz w:val="24"/>
          <w:szCs w:val="24"/>
        </w:rPr>
        <w:t>quale i romeni e i serbi furono</w:t>
      </w:r>
      <w:r w:rsidR="00C947BB">
        <w:rPr>
          <w:rFonts w:ascii="Times New Roman" w:hAnsi="Times New Roman"/>
          <w:sz w:val="24"/>
          <w:szCs w:val="24"/>
        </w:rPr>
        <w:t xml:space="preserve"> sostenuti dai croati, altrettanto insoddisfatti della situazione e timorosi a loro volta di veder scomparire le loro storiche autonomie locali</w:t>
      </w:r>
      <w:r w:rsidR="00C947BB">
        <w:rPr>
          <w:rStyle w:val="Rimandonotaapidipagina"/>
          <w:rFonts w:ascii="Times New Roman" w:hAnsi="Times New Roman"/>
          <w:sz w:val="24"/>
          <w:szCs w:val="24"/>
        </w:rPr>
        <w:footnoteReference w:id="32"/>
      </w:r>
      <w:r w:rsidR="007A2B0E">
        <w:rPr>
          <w:rFonts w:ascii="Times New Roman" w:hAnsi="Times New Roman"/>
          <w:sz w:val="24"/>
          <w:szCs w:val="24"/>
        </w:rPr>
        <w:t>.</w:t>
      </w:r>
    </w:p>
    <w:p w14:paraId="3115CE60" w14:textId="77777777" w:rsidR="00A440B7" w:rsidRDefault="00C947BB" w:rsidP="006D6265">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Da un conflitto intern</w:t>
      </w:r>
      <w:r w:rsidR="005F0829">
        <w:rPr>
          <w:rFonts w:ascii="Times New Roman" w:hAnsi="Times New Roman"/>
          <w:sz w:val="24"/>
          <w:szCs w:val="24"/>
        </w:rPr>
        <w:t xml:space="preserve">o si giunse a quello esterno circa </w:t>
      </w:r>
      <w:r>
        <w:rPr>
          <w:rFonts w:ascii="Times New Roman" w:hAnsi="Times New Roman"/>
          <w:sz w:val="24"/>
          <w:szCs w:val="24"/>
        </w:rPr>
        <w:t>l’impiego delle guarnigioni imperiali contro</w:t>
      </w:r>
      <w:r w:rsidR="00C146CE">
        <w:rPr>
          <w:rFonts w:ascii="Times New Roman" w:hAnsi="Times New Roman"/>
          <w:sz w:val="24"/>
          <w:szCs w:val="24"/>
        </w:rPr>
        <w:t xml:space="preserve"> i ribelli. D</w:t>
      </w:r>
      <w:r>
        <w:rPr>
          <w:rFonts w:ascii="Times New Roman" w:hAnsi="Times New Roman"/>
          <w:sz w:val="24"/>
          <w:szCs w:val="24"/>
        </w:rPr>
        <w:t>a un punto di vista legale</w:t>
      </w:r>
      <w:r w:rsidR="00EC24B5">
        <w:rPr>
          <w:rFonts w:ascii="Times New Roman" w:hAnsi="Times New Roman"/>
          <w:sz w:val="24"/>
          <w:szCs w:val="24"/>
        </w:rPr>
        <w:t>,</w:t>
      </w:r>
      <w:r>
        <w:rPr>
          <w:rFonts w:ascii="Times New Roman" w:hAnsi="Times New Roman"/>
          <w:sz w:val="24"/>
          <w:szCs w:val="24"/>
        </w:rPr>
        <w:t xml:space="preserve"> Vienna era nel suo diritto nel chiedere </w:t>
      </w:r>
      <w:r w:rsidRPr="00863017">
        <w:rPr>
          <w:rFonts w:ascii="Times New Roman" w:hAnsi="Times New Roman"/>
          <w:sz w:val="24"/>
          <w:szCs w:val="24"/>
        </w:rPr>
        <w:t xml:space="preserve">agli ungheresi </w:t>
      </w:r>
      <w:commentRangeStart w:id="40"/>
      <w:commentRangeStart w:id="41"/>
      <w:r w:rsidRPr="00863017">
        <w:rPr>
          <w:rFonts w:ascii="Times New Roman" w:hAnsi="Times New Roman"/>
          <w:sz w:val="24"/>
          <w:szCs w:val="24"/>
        </w:rPr>
        <w:t>d</w:t>
      </w:r>
      <w:r w:rsidR="00863017" w:rsidRPr="00863017">
        <w:rPr>
          <w:rFonts w:ascii="Times New Roman" w:hAnsi="Times New Roman"/>
          <w:sz w:val="24"/>
          <w:szCs w:val="24"/>
        </w:rPr>
        <w:t>i</w:t>
      </w:r>
      <w:r w:rsidR="00863017">
        <w:rPr>
          <w:rFonts w:ascii="Times New Roman" w:hAnsi="Times New Roman"/>
          <w:sz w:val="24"/>
          <w:szCs w:val="24"/>
        </w:rPr>
        <w:t xml:space="preserve"> combattere </w:t>
      </w:r>
      <w:r>
        <w:rPr>
          <w:rFonts w:ascii="Times New Roman" w:hAnsi="Times New Roman"/>
          <w:sz w:val="24"/>
          <w:szCs w:val="24"/>
        </w:rPr>
        <w:t>contro</w:t>
      </w:r>
      <w:commentRangeEnd w:id="40"/>
      <w:r w:rsidR="00EC24B5">
        <w:rPr>
          <w:rStyle w:val="Rimandocommento"/>
        </w:rPr>
        <w:commentReference w:id="40"/>
      </w:r>
      <w:commentRangeEnd w:id="41"/>
      <w:r w:rsidR="00AB5CED">
        <w:rPr>
          <w:rStyle w:val="Rimandocommento"/>
        </w:rPr>
        <w:commentReference w:id="41"/>
      </w:r>
      <w:r>
        <w:rPr>
          <w:rFonts w:ascii="Times New Roman" w:hAnsi="Times New Roman"/>
          <w:sz w:val="24"/>
          <w:szCs w:val="24"/>
        </w:rPr>
        <w:t xml:space="preserve"> il movimento nazionale in Italia,</w:t>
      </w:r>
      <w:r w:rsidR="00C146CE">
        <w:rPr>
          <w:rFonts w:ascii="Times New Roman" w:hAnsi="Times New Roman"/>
          <w:sz w:val="24"/>
          <w:szCs w:val="24"/>
        </w:rPr>
        <w:t xml:space="preserve"> mentre </w:t>
      </w:r>
      <w:r w:rsidR="00863017">
        <w:rPr>
          <w:rFonts w:ascii="Times New Roman" w:hAnsi="Times New Roman"/>
          <w:sz w:val="24"/>
          <w:szCs w:val="24"/>
        </w:rPr>
        <w:t>i patrioti magiari</w:t>
      </w:r>
      <w:r>
        <w:rPr>
          <w:rFonts w:ascii="Times New Roman" w:hAnsi="Times New Roman"/>
          <w:sz w:val="24"/>
          <w:szCs w:val="24"/>
        </w:rPr>
        <w:t xml:space="preserve"> avevano tutte le ragioni per ritenere che il loro legittimo governo potesse ordinare al</w:t>
      </w:r>
      <w:r w:rsidR="00C146CE">
        <w:rPr>
          <w:rFonts w:ascii="Times New Roman" w:hAnsi="Times New Roman"/>
          <w:sz w:val="24"/>
          <w:szCs w:val="24"/>
        </w:rPr>
        <w:t xml:space="preserve">le truppe imperiali ancora stanziate nei paesi della corona di Santo Stefano </w:t>
      </w:r>
      <w:r w:rsidR="00EC24B5" w:rsidRPr="00C146CE">
        <w:rPr>
          <w:rFonts w:ascii="Times New Roman" w:hAnsi="Times New Roman"/>
          <w:sz w:val="24"/>
          <w:szCs w:val="24"/>
        </w:rPr>
        <w:t>d’</w:t>
      </w:r>
      <w:r w:rsidRPr="00C146CE">
        <w:rPr>
          <w:rFonts w:ascii="Times New Roman" w:hAnsi="Times New Roman"/>
          <w:sz w:val="24"/>
          <w:szCs w:val="24"/>
        </w:rPr>
        <w:t>intervenire</w:t>
      </w:r>
      <w:r>
        <w:rPr>
          <w:rFonts w:ascii="Times New Roman" w:hAnsi="Times New Roman"/>
          <w:sz w:val="24"/>
          <w:szCs w:val="24"/>
        </w:rPr>
        <w:t xml:space="preserve"> per riportare </w:t>
      </w:r>
      <w:r w:rsidR="00C042A7">
        <w:rPr>
          <w:rFonts w:ascii="Times New Roman" w:hAnsi="Times New Roman"/>
          <w:sz w:val="24"/>
          <w:szCs w:val="24"/>
        </w:rPr>
        <w:t>l’ordine</w:t>
      </w:r>
      <w:commentRangeStart w:id="42"/>
      <w:commentRangeStart w:id="43"/>
      <w:r w:rsidR="00A440B7">
        <w:rPr>
          <w:rFonts w:ascii="Times New Roman" w:hAnsi="Times New Roman"/>
          <w:sz w:val="24"/>
          <w:szCs w:val="24"/>
        </w:rPr>
        <w:t>.</w:t>
      </w:r>
      <w:commentRangeEnd w:id="42"/>
      <w:r w:rsidR="00A440B7">
        <w:rPr>
          <w:rStyle w:val="Rimandocommento"/>
        </w:rPr>
        <w:commentReference w:id="42"/>
      </w:r>
      <w:commentRangeEnd w:id="43"/>
      <w:r w:rsidR="00AB5CED">
        <w:rPr>
          <w:rStyle w:val="Rimandocommento"/>
        </w:rPr>
        <w:commentReference w:id="43"/>
      </w:r>
    </w:p>
    <w:p w14:paraId="2C9B0168" w14:textId="785BDF6A" w:rsidR="00A440B7" w:rsidRPr="0023549C" w:rsidRDefault="00C947BB" w:rsidP="006D6265">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In q</w:t>
      </w:r>
      <w:r w:rsidR="00D80185">
        <w:rPr>
          <w:rFonts w:ascii="Times New Roman" w:hAnsi="Times New Roman"/>
          <w:sz w:val="24"/>
          <w:szCs w:val="24"/>
        </w:rPr>
        <w:t xml:space="preserve">uesto modo </w:t>
      </w:r>
      <w:r w:rsidR="00C042A7">
        <w:rPr>
          <w:rFonts w:ascii="Times New Roman" w:hAnsi="Times New Roman"/>
          <w:sz w:val="24"/>
          <w:szCs w:val="24"/>
        </w:rPr>
        <w:t xml:space="preserve">gli ‘austriaci’ </w:t>
      </w:r>
      <w:r w:rsidR="00D80185">
        <w:rPr>
          <w:rFonts w:ascii="Times New Roman" w:hAnsi="Times New Roman"/>
          <w:sz w:val="24"/>
          <w:szCs w:val="24"/>
        </w:rPr>
        <w:t xml:space="preserve">entrarono in guerra </w:t>
      </w:r>
      <w:r w:rsidR="00C042A7">
        <w:rPr>
          <w:rFonts w:ascii="Times New Roman" w:hAnsi="Times New Roman"/>
          <w:sz w:val="24"/>
          <w:szCs w:val="24"/>
        </w:rPr>
        <w:t xml:space="preserve">nel timore che i radicali magiari </w:t>
      </w:r>
      <w:r w:rsidR="00DA6F94">
        <w:rPr>
          <w:rFonts w:ascii="Times New Roman" w:hAnsi="Times New Roman"/>
          <w:sz w:val="24"/>
          <w:szCs w:val="24"/>
        </w:rPr>
        <w:t>volesse</w:t>
      </w:r>
      <w:r w:rsidR="00D80185">
        <w:rPr>
          <w:rFonts w:ascii="Times New Roman" w:hAnsi="Times New Roman"/>
          <w:sz w:val="24"/>
          <w:szCs w:val="24"/>
        </w:rPr>
        <w:t>ro</w:t>
      </w:r>
      <w:r w:rsidR="00DA6F94">
        <w:rPr>
          <w:rFonts w:ascii="Times New Roman" w:hAnsi="Times New Roman"/>
          <w:sz w:val="24"/>
          <w:szCs w:val="24"/>
        </w:rPr>
        <w:t xml:space="preserve"> scindere il legame </w:t>
      </w:r>
      <w:r w:rsidR="00D80185">
        <w:rPr>
          <w:rFonts w:ascii="Times New Roman" w:hAnsi="Times New Roman"/>
          <w:sz w:val="24"/>
          <w:szCs w:val="24"/>
        </w:rPr>
        <w:t>con gli Asburgo</w:t>
      </w:r>
      <w:r w:rsidR="00476A64">
        <w:rPr>
          <w:rFonts w:ascii="Times New Roman" w:hAnsi="Times New Roman"/>
          <w:sz w:val="24"/>
          <w:szCs w:val="24"/>
        </w:rPr>
        <w:t xml:space="preserve">, </w:t>
      </w:r>
      <w:r w:rsidR="00C042A7">
        <w:rPr>
          <w:rFonts w:ascii="Times New Roman" w:hAnsi="Times New Roman"/>
          <w:sz w:val="24"/>
          <w:szCs w:val="24"/>
        </w:rPr>
        <w:t>gli ungheresi</w:t>
      </w:r>
      <w:r w:rsidR="00476A64" w:rsidRPr="00476A64">
        <w:rPr>
          <w:rFonts w:ascii="Times New Roman" w:hAnsi="Times New Roman"/>
          <w:sz w:val="24"/>
          <w:szCs w:val="24"/>
        </w:rPr>
        <w:t xml:space="preserve"> </w:t>
      </w:r>
      <w:r w:rsidR="00A440B7">
        <w:rPr>
          <w:rFonts w:ascii="Times New Roman" w:hAnsi="Times New Roman"/>
          <w:sz w:val="24"/>
          <w:szCs w:val="24"/>
        </w:rPr>
        <w:t xml:space="preserve">nella convinzione che una </w:t>
      </w:r>
      <w:r w:rsidR="00A440B7" w:rsidRPr="00A440B7">
        <w:rPr>
          <w:rFonts w:ascii="Times New Roman" w:hAnsi="Times New Roman"/>
          <w:i/>
          <w:sz w:val="24"/>
          <w:szCs w:val="24"/>
        </w:rPr>
        <w:t>camarilla</w:t>
      </w:r>
      <w:r>
        <w:rPr>
          <w:rFonts w:ascii="Times New Roman" w:hAnsi="Times New Roman"/>
          <w:sz w:val="24"/>
          <w:szCs w:val="24"/>
        </w:rPr>
        <w:t xml:space="preserve"> di corte, ostile alle riforme, si fosse allea</w:t>
      </w:r>
      <w:r w:rsidR="00DA6F94">
        <w:rPr>
          <w:rFonts w:ascii="Times New Roman" w:hAnsi="Times New Roman"/>
          <w:sz w:val="24"/>
          <w:szCs w:val="24"/>
        </w:rPr>
        <w:t xml:space="preserve">ta ai generali </w:t>
      </w:r>
      <w:r w:rsidR="0023549C">
        <w:rPr>
          <w:rFonts w:ascii="Times New Roman" w:hAnsi="Times New Roman"/>
          <w:sz w:val="24"/>
          <w:szCs w:val="24"/>
        </w:rPr>
        <w:t xml:space="preserve">imperiali e alle nazionalità </w:t>
      </w:r>
      <w:r w:rsidR="00DA6F94">
        <w:rPr>
          <w:rFonts w:ascii="Times New Roman" w:hAnsi="Times New Roman"/>
          <w:sz w:val="24"/>
          <w:szCs w:val="24"/>
        </w:rPr>
        <w:t xml:space="preserve">del regno di Santo Stefano </w:t>
      </w:r>
      <w:r>
        <w:rPr>
          <w:rFonts w:ascii="Times New Roman" w:hAnsi="Times New Roman"/>
          <w:sz w:val="24"/>
          <w:szCs w:val="24"/>
        </w:rPr>
        <w:t>per distruggere l’ordinamento co</w:t>
      </w:r>
      <w:r w:rsidR="00DA6F94">
        <w:rPr>
          <w:rFonts w:ascii="Times New Roman" w:hAnsi="Times New Roman"/>
          <w:sz w:val="24"/>
          <w:szCs w:val="24"/>
        </w:rPr>
        <w:t>stituzionale e le nuove libertà</w:t>
      </w:r>
      <w:r w:rsidR="0023549C">
        <w:rPr>
          <w:rFonts w:ascii="Times New Roman" w:hAnsi="Times New Roman"/>
          <w:sz w:val="24"/>
          <w:szCs w:val="24"/>
        </w:rPr>
        <w:t xml:space="preserve"> ungheresi</w:t>
      </w:r>
      <w:r w:rsidR="005773AE">
        <w:rPr>
          <w:rStyle w:val="Rimandonotaapidipagina"/>
          <w:rFonts w:ascii="Times New Roman" w:hAnsi="Times New Roman"/>
          <w:sz w:val="24"/>
          <w:szCs w:val="24"/>
        </w:rPr>
        <w:footnoteReference w:id="33"/>
      </w:r>
      <w:r w:rsidR="005773AE">
        <w:rPr>
          <w:rFonts w:ascii="Times New Roman" w:hAnsi="Times New Roman"/>
          <w:sz w:val="24"/>
          <w:szCs w:val="24"/>
        </w:rPr>
        <w:t xml:space="preserve">. </w:t>
      </w:r>
      <w:r w:rsidR="00DA6F94">
        <w:rPr>
          <w:rFonts w:ascii="Times New Roman" w:hAnsi="Times New Roman"/>
          <w:sz w:val="24"/>
          <w:szCs w:val="24"/>
        </w:rPr>
        <w:t xml:space="preserve">La guerra </w:t>
      </w:r>
      <w:r>
        <w:rPr>
          <w:rFonts w:ascii="Times New Roman" w:hAnsi="Times New Roman"/>
          <w:sz w:val="24"/>
          <w:szCs w:val="24"/>
        </w:rPr>
        <w:t>con</w:t>
      </w:r>
      <w:r w:rsidR="00A440B7">
        <w:rPr>
          <w:rFonts w:ascii="Times New Roman" w:hAnsi="Times New Roman"/>
          <w:sz w:val="24"/>
          <w:szCs w:val="24"/>
        </w:rPr>
        <w:t>tro l’Austria e</w:t>
      </w:r>
      <w:r w:rsidR="00C042A7">
        <w:rPr>
          <w:rFonts w:ascii="Times New Roman" w:hAnsi="Times New Roman"/>
          <w:sz w:val="24"/>
          <w:szCs w:val="24"/>
        </w:rPr>
        <w:t xml:space="preserve"> i ‘</w:t>
      </w:r>
      <w:r w:rsidR="00A440B7">
        <w:rPr>
          <w:rFonts w:ascii="Times New Roman" w:hAnsi="Times New Roman"/>
          <w:sz w:val="24"/>
          <w:szCs w:val="24"/>
        </w:rPr>
        <w:t>ribelli</w:t>
      </w:r>
      <w:r w:rsidR="00C042A7">
        <w:rPr>
          <w:rFonts w:ascii="Times New Roman" w:hAnsi="Times New Roman"/>
          <w:sz w:val="24"/>
          <w:szCs w:val="24"/>
        </w:rPr>
        <w:t xml:space="preserve">’ </w:t>
      </w:r>
      <w:r w:rsidR="005773AE">
        <w:rPr>
          <w:rFonts w:ascii="Times New Roman" w:hAnsi="Times New Roman"/>
          <w:sz w:val="24"/>
          <w:szCs w:val="24"/>
        </w:rPr>
        <w:t xml:space="preserve">croati, </w:t>
      </w:r>
      <w:r w:rsidR="00C042A7">
        <w:rPr>
          <w:rFonts w:ascii="Times New Roman" w:hAnsi="Times New Roman"/>
          <w:sz w:val="24"/>
          <w:szCs w:val="24"/>
        </w:rPr>
        <w:t>serbi</w:t>
      </w:r>
      <w:r w:rsidR="00D55A3E">
        <w:rPr>
          <w:rStyle w:val="Rimandonotaapidipagina"/>
          <w:rFonts w:ascii="Times New Roman" w:hAnsi="Times New Roman"/>
          <w:sz w:val="24"/>
          <w:szCs w:val="24"/>
        </w:rPr>
        <w:footnoteReference w:id="34"/>
      </w:r>
      <w:r w:rsidR="005773AE">
        <w:rPr>
          <w:rFonts w:ascii="Times New Roman" w:hAnsi="Times New Roman"/>
          <w:sz w:val="24"/>
          <w:szCs w:val="24"/>
        </w:rPr>
        <w:t xml:space="preserve"> </w:t>
      </w:r>
      <w:r w:rsidR="0023549C">
        <w:rPr>
          <w:rFonts w:ascii="Times New Roman" w:hAnsi="Times New Roman"/>
          <w:sz w:val="24"/>
          <w:szCs w:val="24"/>
        </w:rPr>
        <w:t>e romeni si chiuse soltanto a seguito della sconfitta e successiva resa ungherese nell’agosto 1849.</w:t>
      </w:r>
    </w:p>
    <w:p w14:paraId="5191C607" w14:textId="301B4439" w:rsidR="00C947BB" w:rsidRDefault="00C947BB" w:rsidP="006D6265">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lastRenderedPageBreak/>
        <w:t>La detronizzazione de</w:t>
      </w:r>
      <w:r w:rsidR="00D84D0B">
        <w:rPr>
          <w:rFonts w:ascii="Times New Roman" w:hAnsi="Times New Roman"/>
          <w:sz w:val="24"/>
          <w:szCs w:val="24"/>
        </w:rPr>
        <w:t xml:space="preserve">gli Asburgo proclamata </w:t>
      </w:r>
      <w:r w:rsidR="0067199F">
        <w:rPr>
          <w:rFonts w:ascii="Times New Roman" w:hAnsi="Times New Roman"/>
          <w:sz w:val="24"/>
          <w:szCs w:val="24"/>
        </w:rPr>
        <w:t>dal</w:t>
      </w:r>
      <w:r>
        <w:rPr>
          <w:rFonts w:ascii="Times New Roman" w:hAnsi="Times New Roman"/>
          <w:sz w:val="24"/>
          <w:szCs w:val="24"/>
        </w:rPr>
        <w:t xml:space="preserve"> leader dei radicali, Lajos Kossuth, fece per breve tempo dell’Ungheria </w:t>
      </w:r>
      <w:r w:rsidR="00D11529">
        <w:rPr>
          <w:rFonts w:ascii="Times New Roman" w:hAnsi="Times New Roman"/>
          <w:sz w:val="24"/>
          <w:szCs w:val="24"/>
        </w:rPr>
        <w:t>un regno senza re. Quando lo stesso nuovo I</w:t>
      </w:r>
      <w:r>
        <w:rPr>
          <w:rFonts w:ascii="Times New Roman" w:hAnsi="Times New Roman"/>
          <w:sz w:val="24"/>
          <w:szCs w:val="24"/>
        </w:rPr>
        <w:t>mperatore d’Austria, il diciottenne Francesco Giuseppe I, si ri</w:t>
      </w:r>
      <w:r w:rsidR="00D11529">
        <w:rPr>
          <w:rFonts w:ascii="Times New Roman" w:hAnsi="Times New Roman"/>
          <w:sz w:val="24"/>
          <w:szCs w:val="24"/>
        </w:rPr>
        <w:t>solse a chiedere l’aiuto dello Z</w:t>
      </w:r>
      <w:r>
        <w:rPr>
          <w:rFonts w:ascii="Times New Roman" w:hAnsi="Times New Roman"/>
          <w:sz w:val="24"/>
          <w:szCs w:val="24"/>
        </w:rPr>
        <w:t>ar Nicola I di Russia, il passo fu visto favorevolmente in Austria</w:t>
      </w:r>
      <w:r w:rsidR="00D11529">
        <w:rPr>
          <w:rFonts w:ascii="Times New Roman" w:hAnsi="Times New Roman"/>
          <w:sz w:val="24"/>
          <w:szCs w:val="24"/>
        </w:rPr>
        <w:t>,</w:t>
      </w:r>
      <w:r>
        <w:rPr>
          <w:rFonts w:ascii="Times New Roman" w:hAnsi="Times New Roman"/>
          <w:sz w:val="24"/>
          <w:szCs w:val="24"/>
        </w:rPr>
        <w:t xml:space="preserve"> in ossequio ai </w:t>
      </w:r>
      <w:r w:rsidR="00D11529">
        <w:rPr>
          <w:rFonts w:ascii="Times New Roman" w:hAnsi="Times New Roman"/>
          <w:sz w:val="24"/>
          <w:szCs w:val="24"/>
        </w:rPr>
        <w:t>dettami della Santa Alleanza, e</w:t>
      </w:r>
      <w:r>
        <w:rPr>
          <w:rFonts w:ascii="Times New Roman" w:hAnsi="Times New Roman"/>
          <w:sz w:val="24"/>
          <w:szCs w:val="24"/>
        </w:rPr>
        <w:t xml:space="preserve"> considerato anche con una certa tranquillità per l’assenza di frizioni tra i due imperi</w:t>
      </w:r>
      <w:r>
        <w:rPr>
          <w:rStyle w:val="Rimandonotaapidipagina"/>
          <w:rFonts w:ascii="Times New Roman" w:hAnsi="Times New Roman"/>
          <w:sz w:val="24"/>
          <w:szCs w:val="24"/>
        </w:rPr>
        <w:footnoteReference w:id="35"/>
      </w:r>
      <w:r w:rsidR="00D11529">
        <w:rPr>
          <w:rFonts w:ascii="Times New Roman" w:hAnsi="Times New Roman"/>
          <w:sz w:val="24"/>
          <w:szCs w:val="24"/>
        </w:rPr>
        <w:t>, nonché per</w:t>
      </w:r>
      <w:r>
        <w:rPr>
          <w:rFonts w:ascii="Times New Roman" w:hAnsi="Times New Roman"/>
          <w:sz w:val="24"/>
          <w:szCs w:val="24"/>
        </w:rPr>
        <w:t xml:space="preserve"> </w:t>
      </w:r>
      <w:commentRangeStart w:id="44"/>
      <w:commentRangeStart w:id="45"/>
      <w:r>
        <w:rPr>
          <w:rFonts w:ascii="Times New Roman" w:hAnsi="Times New Roman"/>
          <w:sz w:val="24"/>
          <w:szCs w:val="24"/>
        </w:rPr>
        <w:t>il s</w:t>
      </w:r>
      <w:r w:rsidR="00D11529">
        <w:rPr>
          <w:rFonts w:ascii="Times New Roman" w:hAnsi="Times New Roman"/>
          <w:sz w:val="24"/>
          <w:szCs w:val="24"/>
        </w:rPr>
        <w:t>ilenzio-assenso dei britannici</w:t>
      </w:r>
      <w:commentRangeEnd w:id="44"/>
      <w:r w:rsidR="00D11529">
        <w:rPr>
          <w:rStyle w:val="Rimandocommento"/>
        </w:rPr>
        <w:commentReference w:id="44"/>
      </w:r>
      <w:commentRangeEnd w:id="45"/>
      <w:r w:rsidR="00F10125">
        <w:rPr>
          <w:rStyle w:val="Rimandocommento"/>
        </w:rPr>
        <w:commentReference w:id="45"/>
      </w:r>
      <w:r w:rsidR="00C042A7">
        <w:rPr>
          <w:rFonts w:ascii="Times New Roman" w:hAnsi="Times New Roman"/>
          <w:sz w:val="24"/>
          <w:szCs w:val="24"/>
        </w:rPr>
        <w:t>. A nulla valse infatti la mission</w:t>
      </w:r>
      <w:r w:rsidR="00920328">
        <w:rPr>
          <w:rFonts w:ascii="Times New Roman" w:hAnsi="Times New Roman"/>
          <w:sz w:val="24"/>
          <w:szCs w:val="24"/>
        </w:rPr>
        <w:t>e diplomatica inviata</w:t>
      </w:r>
      <w:r w:rsidR="00C042A7">
        <w:rPr>
          <w:rFonts w:ascii="Times New Roman" w:hAnsi="Times New Roman"/>
          <w:sz w:val="24"/>
          <w:szCs w:val="24"/>
        </w:rPr>
        <w:t xml:space="preserve"> presso il governo britannico in cerca di riconoscimento internazionale e appoggio alla causa dell’indipendenza ungherese</w:t>
      </w:r>
      <w:r w:rsidR="002A00A3">
        <w:rPr>
          <w:rStyle w:val="Rimandonotaapidipagina"/>
          <w:rFonts w:ascii="Times New Roman" w:hAnsi="Times New Roman"/>
          <w:sz w:val="24"/>
          <w:szCs w:val="24"/>
        </w:rPr>
        <w:footnoteReference w:id="36"/>
      </w:r>
      <w:r w:rsidR="00C042A7">
        <w:rPr>
          <w:rFonts w:ascii="Times New Roman" w:hAnsi="Times New Roman"/>
          <w:sz w:val="24"/>
          <w:szCs w:val="24"/>
        </w:rPr>
        <w:t xml:space="preserve">. </w:t>
      </w:r>
      <w:r>
        <w:rPr>
          <w:rFonts w:ascii="Times New Roman" w:hAnsi="Times New Roman"/>
          <w:sz w:val="24"/>
          <w:szCs w:val="24"/>
        </w:rPr>
        <w:t>L’intervento dei russi rese inevitabile la sconfitta degli ungheresi, ma a propiziarla fu l’esercito imperiale asburgico</w:t>
      </w:r>
      <w:r>
        <w:rPr>
          <w:rStyle w:val="Rimandonotaapidipagina"/>
          <w:rFonts w:ascii="Times New Roman" w:hAnsi="Times New Roman"/>
          <w:sz w:val="24"/>
          <w:szCs w:val="24"/>
        </w:rPr>
        <w:footnoteReference w:id="37"/>
      </w:r>
      <w:r w:rsidR="006D6265">
        <w:rPr>
          <w:rFonts w:ascii="Times New Roman" w:hAnsi="Times New Roman"/>
          <w:sz w:val="24"/>
          <w:szCs w:val="24"/>
        </w:rPr>
        <w:t>.</w:t>
      </w:r>
    </w:p>
    <w:p w14:paraId="4EB3E0DD" w14:textId="77777777" w:rsidR="00C947BB" w:rsidRDefault="00C947BB" w:rsidP="006D6265">
      <w:pPr>
        <w:pStyle w:val="Testonotaapidipagina"/>
        <w:spacing w:before="100" w:beforeAutospacing="1" w:after="100" w:afterAutospacing="1" w:line="360" w:lineRule="auto"/>
        <w:ind w:right="567"/>
        <w:jc w:val="both"/>
        <w:rPr>
          <w:rFonts w:ascii="Times New Roman" w:hAnsi="Times New Roman"/>
          <w:i/>
          <w:sz w:val="24"/>
          <w:szCs w:val="24"/>
        </w:rPr>
      </w:pPr>
      <w:r w:rsidRPr="0010055B">
        <w:rPr>
          <w:rFonts w:ascii="Times New Roman" w:hAnsi="Times New Roman"/>
          <w:i/>
          <w:sz w:val="24"/>
          <w:szCs w:val="24"/>
        </w:rPr>
        <w:t>L’ultima stagione dell’assolutismo e gli esperimenti co</w:t>
      </w:r>
      <w:r>
        <w:rPr>
          <w:rFonts w:ascii="Times New Roman" w:hAnsi="Times New Roman"/>
          <w:i/>
          <w:sz w:val="24"/>
          <w:szCs w:val="24"/>
        </w:rPr>
        <w:t>stituzionali (1850-1866)</w:t>
      </w:r>
    </w:p>
    <w:p w14:paraId="03862871" w14:textId="65A1991C" w:rsidR="00384C8F" w:rsidRDefault="00C947BB" w:rsidP="001A1A42">
      <w:pPr>
        <w:pStyle w:val="Testonotaapidipagina"/>
        <w:spacing w:before="100" w:beforeAutospacing="1" w:after="100" w:afterAutospacing="1" w:line="360" w:lineRule="auto"/>
        <w:ind w:right="567"/>
        <w:jc w:val="both"/>
        <w:rPr>
          <w:rFonts w:ascii="Times New Roman" w:hAnsi="Times New Roman"/>
          <w:sz w:val="24"/>
          <w:szCs w:val="24"/>
        </w:rPr>
      </w:pPr>
      <w:commentRangeStart w:id="46"/>
      <w:r>
        <w:rPr>
          <w:rFonts w:ascii="Times New Roman" w:hAnsi="Times New Roman"/>
          <w:sz w:val="24"/>
          <w:szCs w:val="24"/>
        </w:rPr>
        <w:t>L</w:t>
      </w:r>
      <w:r w:rsidR="00416750">
        <w:rPr>
          <w:rFonts w:ascii="Times New Roman" w:hAnsi="Times New Roman"/>
          <w:sz w:val="24"/>
          <w:szCs w:val="24"/>
        </w:rPr>
        <w:t>’ascesa</w:t>
      </w:r>
      <w:r>
        <w:rPr>
          <w:rFonts w:ascii="Times New Roman" w:hAnsi="Times New Roman"/>
          <w:sz w:val="24"/>
          <w:szCs w:val="24"/>
        </w:rPr>
        <w:t xml:space="preserve"> al trono</w:t>
      </w:r>
      <w:commentRangeEnd w:id="46"/>
      <w:r w:rsidR="00A363C2">
        <w:rPr>
          <w:rStyle w:val="Rimandocommento"/>
        </w:rPr>
        <w:commentReference w:id="46"/>
      </w:r>
      <w:r>
        <w:rPr>
          <w:rFonts w:ascii="Times New Roman" w:hAnsi="Times New Roman"/>
          <w:sz w:val="24"/>
          <w:szCs w:val="24"/>
        </w:rPr>
        <w:t xml:space="preserve"> di Francesco Giuseppe I nel dicembre 1848 ebbe una profon</w:t>
      </w:r>
      <w:r w:rsidR="00A363C2">
        <w:rPr>
          <w:rFonts w:ascii="Times New Roman" w:hAnsi="Times New Roman"/>
          <w:sz w:val="24"/>
          <w:szCs w:val="24"/>
        </w:rPr>
        <w:t>da influenza sul destino della m</w:t>
      </w:r>
      <w:r>
        <w:rPr>
          <w:rFonts w:ascii="Times New Roman" w:hAnsi="Times New Roman"/>
          <w:sz w:val="24"/>
          <w:szCs w:val="24"/>
        </w:rPr>
        <w:t>onarchia asburgica</w:t>
      </w:r>
      <w:commentRangeStart w:id="47"/>
      <w:r>
        <w:rPr>
          <w:rStyle w:val="Rimandonotaapidipagina"/>
          <w:rFonts w:ascii="Times New Roman" w:hAnsi="Times New Roman"/>
          <w:sz w:val="24"/>
          <w:szCs w:val="24"/>
        </w:rPr>
        <w:footnoteReference w:id="38"/>
      </w:r>
      <w:commentRangeEnd w:id="47"/>
      <w:r w:rsidR="00A363C2">
        <w:rPr>
          <w:rStyle w:val="Rimandocommento"/>
        </w:rPr>
        <w:commentReference w:id="47"/>
      </w:r>
      <w:r>
        <w:rPr>
          <w:rFonts w:ascii="Times New Roman" w:hAnsi="Times New Roman"/>
          <w:sz w:val="24"/>
          <w:szCs w:val="24"/>
        </w:rPr>
        <w:t>.</w:t>
      </w:r>
      <w:r w:rsidRPr="00515E8F">
        <w:rPr>
          <w:rFonts w:ascii="Times New Roman" w:hAnsi="Times New Roman"/>
          <w:sz w:val="24"/>
          <w:szCs w:val="24"/>
        </w:rPr>
        <w:t xml:space="preserve"> </w:t>
      </w:r>
      <w:r w:rsidR="004E73C7">
        <w:rPr>
          <w:rFonts w:ascii="Times New Roman" w:hAnsi="Times New Roman"/>
          <w:sz w:val="24"/>
          <w:szCs w:val="24"/>
        </w:rPr>
        <w:t>L</w:t>
      </w:r>
      <w:r>
        <w:rPr>
          <w:rFonts w:ascii="Times New Roman" w:hAnsi="Times New Roman"/>
          <w:sz w:val="24"/>
          <w:szCs w:val="24"/>
        </w:rPr>
        <w:t xml:space="preserve">a scelta di </w:t>
      </w:r>
      <w:r w:rsidR="00416750">
        <w:rPr>
          <w:rFonts w:ascii="Times New Roman" w:hAnsi="Times New Roman"/>
          <w:sz w:val="24"/>
          <w:szCs w:val="24"/>
        </w:rPr>
        <w:t>mettere</w:t>
      </w:r>
      <w:commentRangeStart w:id="48"/>
      <w:r>
        <w:rPr>
          <w:rFonts w:ascii="Times New Roman" w:hAnsi="Times New Roman"/>
          <w:sz w:val="24"/>
          <w:szCs w:val="24"/>
        </w:rPr>
        <w:t xml:space="preserve"> l</w:t>
      </w:r>
      <w:r w:rsidR="00A363C2">
        <w:rPr>
          <w:rFonts w:ascii="Times New Roman" w:hAnsi="Times New Roman"/>
          <w:sz w:val="24"/>
          <w:szCs w:val="24"/>
        </w:rPr>
        <w:t>’Impero nelle mani</w:t>
      </w:r>
      <w:commentRangeEnd w:id="48"/>
      <w:r w:rsidR="00681E86">
        <w:rPr>
          <w:rStyle w:val="Rimandocommento"/>
        </w:rPr>
        <w:commentReference w:id="48"/>
      </w:r>
      <w:r w:rsidR="00A363C2">
        <w:rPr>
          <w:rFonts w:ascii="Times New Roman" w:hAnsi="Times New Roman"/>
          <w:sz w:val="24"/>
          <w:szCs w:val="24"/>
        </w:rPr>
        <w:t xml:space="preserve"> d’</w:t>
      </w:r>
      <w:r>
        <w:rPr>
          <w:rFonts w:ascii="Times New Roman" w:hAnsi="Times New Roman"/>
          <w:sz w:val="24"/>
          <w:szCs w:val="24"/>
        </w:rPr>
        <w:t>un sovrano giova</w:t>
      </w:r>
      <w:r w:rsidR="004E73C7">
        <w:rPr>
          <w:rFonts w:ascii="Times New Roman" w:hAnsi="Times New Roman"/>
          <w:sz w:val="24"/>
          <w:szCs w:val="24"/>
        </w:rPr>
        <w:t xml:space="preserve">ne ed energico, </w:t>
      </w:r>
      <w:r>
        <w:rPr>
          <w:rFonts w:ascii="Times New Roman" w:hAnsi="Times New Roman"/>
          <w:sz w:val="24"/>
          <w:szCs w:val="24"/>
        </w:rPr>
        <w:t>appropriata</w:t>
      </w:r>
      <w:r w:rsidR="004E73C7">
        <w:rPr>
          <w:rFonts w:ascii="Times New Roman" w:hAnsi="Times New Roman"/>
          <w:sz w:val="24"/>
          <w:szCs w:val="24"/>
        </w:rPr>
        <w:t xml:space="preserve"> dal punto di vista dinastico, non lo fu per </w:t>
      </w:r>
      <w:r w:rsidR="00A363C2">
        <w:rPr>
          <w:rFonts w:ascii="Times New Roman" w:hAnsi="Times New Roman"/>
          <w:sz w:val="24"/>
          <w:szCs w:val="24"/>
        </w:rPr>
        <w:t>l’evoluzione della monarchia, perché il nuovo I</w:t>
      </w:r>
      <w:r w:rsidR="00CF18C3">
        <w:rPr>
          <w:rFonts w:ascii="Times New Roman" w:hAnsi="Times New Roman"/>
          <w:sz w:val="24"/>
          <w:szCs w:val="24"/>
        </w:rPr>
        <w:t>mperatore era stato p</w:t>
      </w:r>
      <w:r>
        <w:rPr>
          <w:rFonts w:ascii="Times New Roman" w:hAnsi="Times New Roman"/>
          <w:sz w:val="24"/>
          <w:szCs w:val="24"/>
        </w:rPr>
        <w:t>reparato per mettersi alla testa delle forze maggiormente conservatrici</w:t>
      </w:r>
      <w:r w:rsidR="00A363C2">
        <w:rPr>
          <w:rFonts w:ascii="Times New Roman" w:hAnsi="Times New Roman"/>
          <w:sz w:val="24"/>
          <w:szCs w:val="24"/>
        </w:rPr>
        <w:t>,</w:t>
      </w:r>
      <w:r>
        <w:rPr>
          <w:rFonts w:ascii="Times New Roman" w:hAnsi="Times New Roman"/>
          <w:sz w:val="24"/>
          <w:szCs w:val="24"/>
        </w:rPr>
        <w:t xml:space="preserve"> in nome del</w:t>
      </w:r>
      <w:r w:rsidR="00CF18C3">
        <w:rPr>
          <w:rFonts w:ascii="Times New Roman" w:hAnsi="Times New Roman"/>
          <w:sz w:val="24"/>
          <w:szCs w:val="24"/>
        </w:rPr>
        <w:t>la salvaguardia del</w:t>
      </w:r>
      <w:r>
        <w:rPr>
          <w:rFonts w:ascii="Times New Roman" w:hAnsi="Times New Roman"/>
          <w:sz w:val="24"/>
          <w:szCs w:val="24"/>
        </w:rPr>
        <w:t xml:space="preserve"> legittimismo e </w:t>
      </w:r>
      <w:r w:rsidR="00CF18C3">
        <w:rPr>
          <w:rFonts w:ascii="Times New Roman" w:hAnsi="Times New Roman"/>
          <w:sz w:val="24"/>
          <w:szCs w:val="24"/>
        </w:rPr>
        <w:t xml:space="preserve">del centralismo burocratico. </w:t>
      </w:r>
      <w:r w:rsidR="00935970">
        <w:rPr>
          <w:rFonts w:ascii="Times New Roman" w:hAnsi="Times New Roman"/>
          <w:sz w:val="24"/>
          <w:szCs w:val="24"/>
        </w:rPr>
        <w:t xml:space="preserve">Francesco Giuseppe </w:t>
      </w:r>
      <w:r>
        <w:rPr>
          <w:rFonts w:ascii="Times New Roman" w:hAnsi="Times New Roman"/>
          <w:sz w:val="24"/>
          <w:szCs w:val="24"/>
        </w:rPr>
        <w:t xml:space="preserve">era stato formato nella diffidenza, quando non </w:t>
      </w:r>
      <w:commentRangeStart w:id="49"/>
      <w:r>
        <w:rPr>
          <w:rFonts w:ascii="Times New Roman" w:hAnsi="Times New Roman"/>
          <w:sz w:val="24"/>
          <w:szCs w:val="24"/>
        </w:rPr>
        <w:t>avversione profonda p</w:t>
      </w:r>
      <w:r w:rsidR="00CA6D83">
        <w:rPr>
          <w:rFonts w:ascii="Times New Roman" w:hAnsi="Times New Roman"/>
          <w:sz w:val="24"/>
          <w:szCs w:val="24"/>
        </w:rPr>
        <w:t xml:space="preserve">er le idee più avanzate del </w:t>
      </w:r>
      <w:r>
        <w:rPr>
          <w:rFonts w:ascii="Times New Roman" w:hAnsi="Times New Roman"/>
          <w:sz w:val="24"/>
          <w:szCs w:val="24"/>
        </w:rPr>
        <w:t>secolo e per qualsiasi mutamento istituzionale, nella convinzione che soltanto il pugno di ferro e i sudditi fedeli potessero mantener</w:t>
      </w:r>
      <w:r w:rsidR="00A363C2">
        <w:rPr>
          <w:rFonts w:ascii="Times New Roman" w:hAnsi="Times New Roman"/>
          <w:sz w:val="24"/>
          <w:szCs w:val="24"/>
        </w:rPr>
        <w:t>e la coesione dell’I</w:t>
      </w:r>
      <w:r>
        <w:rPr>
          <w:rFonts w:ascii="Times New Roman" w:hAnsi="Times New Roman"/>
          <w:sz w:val="24"/>
          <w:szCs w:val="24"/>
        </w:rPr>
        <w:t>mpero</w:t>
      </w:r>
      <w:commentRangeEnd w:id="49"/>
      <w:r w:rsidR="00A363C2">
        <w:rPr>
          <w:rStyle w:val="Rimandocommento"/>
        </w:rPr>
        <w:commentReference w:id="49"/>
      </w:r>
      <w:r>
        <w:rPr>
          <w:rFonts w:ascii="Times New Roman" w:hAnsi="Times New Roman"/>
          <w:sz w:val="24"/>
          <w:szCs w:val="24"/>
        </w:rPr>
        <w:t>. Nel breve volgere di</w:t>
      </w:r>
      <w:r w:rsidR="00F74D64">
        <w:rPr>
          <w:rFonts w:ascii="Times New Roman" w:hAnsi="Times New Roman"/>
          <w:sz w:val="24"/>
          <w:szCs w:val="24"/>
        </w:rPr>
        <w:t xml:space="preserve"> qualche anno il sovrano</w:t>
      </w:r>
      <w:r>
        <w:rPr>
          <w:rFonts w:ascii="Times New Roman" w:hAnsi="Times New Roman"/>
          <w:sz w:val="24"/>
          <w:szCs w:val="24"/>
        </w:rPr>
        <w:t xml:space="preserve"> rimaneggiò il sistema costituzionale</w:t>
      </w:r>
      <w:r w:rsidR="00384C8F">
        <w:rPr>
          <w:rFonts w:ascii="Times New Roman" w:hAnsi="Times New Roman"/>
          <w:sz w:val="24"/>
          <w:szCs w:val="24"/>
        </w:rPr>
        <w:t>,</w:t>
      </w:r>
      <w:r w:rsidR="00B6039C">
        <w:rPr>
          <w:rFonts w:ascii="Times New Roman" w:hAnsi="Times New Roman"/>
          <w:sz w:val="24"/>
          <w:szCs w:val="24"/>
        </w:rPr>
        <w:t xml:space="preserve"> </w:t>
      </w:r>
      <w:r w:rsidR="00B6039C">
        <w:rPr>
          <w:rFonts w:ascii="Times New Roman" w:hAnsi="Times New Roman"/>
          <w:sz w:val="24"/>
          <w:szCs w:val="24"/>
        </w:rPr>
        <w:lastRenderedPageBreak/>
        <w:t>valendosi dell’opera del P</w:t>
      </w:r>
      <w:r>
        <w:rPr>
          <w:rFonts w:ascii="Times New Roman" w:hAnsi="Times New Roman"/>
          <w:sz w:val="24"/>
          <w:szCs w:val="24"/>
        </w:rPr>
        <w:t>rimo ministro, principe Felix von S</w:t>
      </w:r>
      <w:r w:rsidR="00384C8F">
        <w:rPr>
          <w:rFonts w:ascii="Times New Roman" w:hAnsi="Times New Roman"/>
          <w:sz w:val="24"/>
          <w:szCs w:val="24"/>
        </w:rPr>
        <w:t>chwarzenberg, e dei consigli d’</w:t>
      </w:r>
      <w:r>
        <w:rPr>
          <w:rFonts w:ascii="Times New Roman" w:hAnsi="Times New Roman"/>
          <w:sz w:val="24"/>
          <w:szCs w:val="24"/>
        </w:rPr>
        <w:t xml:space="preserve">un convinto sostenitore del principe Metternich, il barone Karl Friedrick von </w:t>
      </w:r>
      <w:r w:rsidRPr="002D3D79">
        <w:rPr>
          <w:rFonts w:ascii="Times New Roman" w:hAnsi="Times New Roman"/>
          <w:sz w:val="24"/>
          <w:szCs w:val="24"/>
        </w:rPr>
        <w:t>Kübeck.</w:t>
      </w:r>
    </w:p>
    <w:p w14:paraId="4CCA262E" w14:textId="0C949EA3" w:rsidR="00384C8F" w:rsidRDefault="00C947BB" w:rsidP="006D6265">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La stagione liberale austriaca aveva raggiunto il suo punto più alto nella cosiddetta Costituzione del marzo 1849 o di Stadion, dal nome del principale ispiratore, il conte Franz Stadion von Warthausen. Da quella carta costituzionale avevano preso avvio la legge sulle autonomie comunali</w:t>
      </w:r>
      <w:commentRangeStart w:id="50"/>
      <w:r>
        <w:rPr>
          <w:rStyle w:val="Rimandonotaapidipagina"/>
          <w:rFonts w:ascii="Times New Roman" w:hAnsi="Times New Roman"/>
          <w:sz w:val="24"/>
          <w:szCs w:val="24"/>
        </w:rPr>
        <w:footnoteReference w:id="39"/>
      </w:r>
      <w:commentRangeEnd w:id="50"/>
      <w:r w:rsidR="00384C8F">
        <w:rPr>
          <w:rStyle w:val="Rimandocommento"/>
        </w:rPr>
        <w:commentReference w:id="50"/>
      </w:r>
      <w:r>
        <w:rPr>
          <w:rFonts w:ascii="Times New Roman" w:hAnsi="Times New Roman"/>
          <w:sz w:val="24"/>
          <w:szCs w:val="24"/>
        </w:rPr>
        <w:t xml:space="preserve">, i nuovi statuti delle maggiori città imperiali e dei </w:t>
      </w:r>
      <w:r w:rsidRPr="003D104B">
        <w:rPr>
          <w:rFonts w:ascii="Times New Roman" w:hAnsi="Times New Roman"/>
          <w:i/>
          <w:sz w:val="24"/>
          <w:szCs w:val="24"/>
        </w:rPr>
        <w:t>Landtage</w:t>
      </w:r>
      <w:r>
        <w:rPr>
          <w:rFonts w:ascii="Times New Roman" w:hAnsi="Times New Roman"/>
          <w:sz w:val="24"/>
          <w:szCs w:val="24"/>
        </w:rPr>
        <w:t>, i parlamenti locali derivati dalle antiche Diet</w:t>
      </w:r>
      <w:r w:rsidR="00384C8F">
        <w:rPr>
          <w:rFonts w:ascii="Times New Roman" w:hAnsi="Times New Roman"/>
          <w:sz w:val="24"/>
          <w:szCs w:val="24"/>
        </w:rPr>
        <w:t>e. Si trattava nel complesso d’</w:t>
      </w:r>
      <w:r>
        <w:rPr>
          <w:rFonts w:ascii="Times New Roman" w:hAnsi="Times New Roman"/>
          <w:sz w:val="24"/>
          <w:szCs w:val="24"/>
        </w:rPr>
        <w:t>un coraggioso tentativo di conciliare il centralismo burocratico-amministrativo con la tradizione delle autonomie loca</w:t>
      </w:r>
      <w:r w:rsidR="004A3DAC">
        <w:rPr>
          <w:rFonts w:ascii="Times New Roman" w:hAnsi="Times New Roman"/>
          <w:sz w:val="24"/>
          <w:szCs w:val="24"/>
        </w:rPr>
        <w:t>li, rimodernate secondo princip</w:t>
      </w:r>
      <w:r w:rsidR="00384C8F">
        <w:rPr>
          <w:rFonts w:ascii="Times New Roman" w:hAnsi="Times New Roman"/>
          <w:sz w:val="24"/>
          <w:szCs w:val="24"/>
        </w:rPr>
        <w:t>i liberali.</w:t>
      </w:r>
    </w:p>
    <w:p w14:paraId="02279638" w14:textId="647273D7" w:rsidR="00384C8F" w:rsidRDefault="00384C8F" w:rsidP="006D6265">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Grazie</w:t>
      </w:r>
      <w:r w:rsidR="00C947BB">
        <w:rPr>
          <w:rFonts w:ascii="Times New Roman" w:hAnsi="Times New Roman"/>
          <w:sz w:val="24"/>
          <w:szCs w:val="24"/>
        </w:rPr>
        <w:t xml:space="preserve"> </w:t>
      </w:r>
      <w:r>
        <w:rPr>
          <w:rFonts w:ascii="Times New Roman" w:hAnsi="Times New Roman"/>
          <w:sz w:val="24"/>
          <w:szCs w:val="24"/>
        </w:rPr>
        <w:t>al</w:t>
      </w:r>
      <w:r w:rsidR="00C947BB">
        <w:rPr>
          <w:rFonts w:ascii="Times New Roman" w:hAnsi="Times New Roman"/>
          <w:sz w:val="24"/>
          <w:szCs w:val="24"/>
        </w:rPr>
        <w:t>le personalit</w:t>
      </w:r>
      <w:r>
        <w:rPr>
          <w:rFonts w:ascii="Times New Roman" w:hAnsi="Times New Roman"/>
          <w:sz w:val="24"/>
          <w:szCs w:val="24"/>
        </w:rPr>
        <w:t>à più favorevoli al ristabilirsi d’</w:t>
      </w:r>
      <w:r w:rsidR="00C947BB">
        <w:rPr>
          <w:rFonts w:ascii="Times New Roman" w:hAnsi="Times New Roman"/>
          <w:sz w:val="24"/>
          <w:szCs w:val="24"/>
        </w:rPr>
        <w:t>un forte potere</w:t>
      </w:r>
      <w:r w:rsidR="00972A61">
        <w:rPr>
          <w:rFonts w:ascii="Times New Roman" w:hAnsi="Times New Roman"/>
          <w:sz w:val="24"/>
          <w:szCs w:val="24"/>
        </w:rPr>
        <w:t xml:space="preserve"> centralizzato a detrimento</w:t>
      </w:r>
      <w:r w:rsidR="00C947BB">
        <w:rPr>
          <w:rFonts w:ascii="Times New Roman" w:hAnsi="Times New Roman"/>
          <w:sz w:val="24"/>
          <w:szCs w:val="24"/>
        </w:rPr>
        <w:t xml:space="preserve"> delle autonomie locali, come il</w:t>
      </w:r>
      <w:r>
        <w:rPr>
          <w:rFonts w:ascii="Times New Roman" w:hAnsi="Times New Roman"/>
          <w:sz w:val="24"/>
          <w:szCs w:val="24"/>
        </w:rPr>
        <w:t xml:space="preserve"> M</w:t>
      </w:r>
      <w:r w:rsidR="00C947BB">
        <w:rPr>
          <w:rFonts w:ascii="Times New Roman" w:hAnsi="Times New Roman"/>
          <w:sz w:val="24"/>
          <w:szCs w:val="24"/>
        </w:rPr>
        <w:t>inistro dell’Interno Alexander Bach, il sovrano poté meglio co</w:t>
      </w:r>
      <w:r>
        <w:rPr>
          <w:rFonts w:ascii="Times New Roman" w:hAnsi="Times New Roman"/>
          <w:sz w:val="24"/>
          <w:szCs w:val="24"/>
        </w:rPr>
        <w:t>ntrollare l’amministrazione,</w:t>
      </w:r>
      <w:r w:rsidR="00C947BB">
        <w:rPr>
          <w:rFonts w:ascii="Times New Roman" w:hAnsi="Times New Roman"/>
          <w:sz w:val="24"/>
          <w:szCs w:val="24"/>
        </w:rPr>
        <w:t xml:space="preserve"> mentre difen</w:t>
      </w:r>
      <w:r>
        <w:rPr>
          <w:rFonts w:ascii="Times New Roman" w:hAnsi="Times New Roman"/>
          <w:sz w:val="24"/>
          <w:szCs w:val="24"/>
        </w:rPr>
        <w:t>deva pur sempre il principio d’</w:t>
      </w:r>
      <w:r w:rsidR="00C947BB">
        <w:rPr>
          <w:rFonts w:ascii="Times New Roman" w:hAnsi="Times New Roman"/>
          <w:sz w:val="24"/>
          <w:szCs w:val="24"/>
        </w:rPr>
        <w:t>uguaglianza nazionale e</w:t>
      </w:r>
      <w:r>
        <w:rPr>
          <w:rFonts w:ascii="Times New Roman" w:hAnsi="Times New Roman"/>
          <w:sz w:val="24"/>
          <w:szCs w:val="24"/>
        </w:rPr>
        <w:t xml:space="preserve"> linguistica fra i popoli dell’I</w:t>
      </w:r>
      <w:r w:rsidR="00C947BB">
        <w:rPr>
          <w:rFonts w:ascii="Times New Roman" w:hAnsi="Times New Roman"/>
          <w:sz w:val="24"/>
          <w:szCs w:val="24"/>
        </w:rPr>
        <w:t>mpero. Un’amministrazione unitaria e nazionalità tutelate</w:t>
      </w:r>
      <w:r>
        <w:rPr>
          <w:rFonts w:ascii="Times New Roman" w:hAnsi="Times New Roman"/>
          <w:sz w:val="24"/>
          <w:szCs w:val="24"/>
        </w:rPr>
        <w:t>,</w:t>
      </w:r>
      <w:r w:rsidR="00C947BB">
        <w:rPr>
          <w:rFonts w:ascii="Times New Roman" w:hAnsi="Times New Roman"/>
          <w:sz w:val="24"/>
          <w:szCs w:val="24"/>
        </w:rPr>
        <w:t xml:space="preserve"> ma spoliticizzate</w:t>
      </w:r>
      <w:r>
        <w:rPr>
          <w:rFonts w:ascii="Times New Roman" w:hAnsi="Times New Roman"/>
          <w:sz w:val="24"/>
          <w:szCs w:val="24"/>
        </w:rPr>
        <w:t>,</w:t>
      </w:r>
      <w:r w:rsidR="00C947BB">
        <w:rPr>
          <w:rFonts w:ascii="Times New Roman" w:hAnsi="Times New Roman"/>
          <w:sz w:val="24"/>
          <w:szCs w:val="24"/>
        </w:rPr>
        <w:t xml:space="preserve"> furono i cardini del nuovo assolutismo. La </w:t>
      </w:r>
      <w:r w:rsidR="00C947BB" w:rsidRPr="007C2952">
        <w:rPr>
          <w:rFonts w:ascii="Times New Roman" w:hAnsi="Times New Roman"/>
          <w:i/>
          <w:sz w:val="24"/>
          <w:szCs w:val="24"/>
        </w:rPr>
        <w:t>Sylvesterpatent</w:t>
      </w:r>
      <w:r w:rsidR="00C947BB">
        <w:rPr>
          <w:rFonts w:ascii="Times New Roman" w:hAnsi="Times New Roman"/>
          <w:sz w:val="24"/>
          <w:szCs w:val="24"/>
        </w:rPr>
        <w:t xml:space="preserve"> del 31 dicembre 1851 annullava di fatto la Costituzione di marzo</w:t>
      </w:r>
      <w:r>
        <w:rPr>
          <w:rFonts w:ascii="Times New Roman" w:hAnsi="Times New Roman"/>
          <w:sz w:val="24"/>
          <w:szCs w:val="24"/>
        </w:rPr>
        <w:t>,</w:t>
      </w:r>
      <w:r w:rsidR="00C947BB">
        <w:rPr>
          <w:rFonts w:ascii="Times New Roman" w:hAnsi="Times New Roman"/>
          <w:sz w:val="24"/>
          <w:szCs w:val="24"/>
        </w:rPr>
        <w:t xml:space="preserve"> salvando il principio di uguaglianza davanti alla legge e la libertà dei contadini</w:t>
      </w:r>
      <w:r w:rsidR="00A3273D">
        <w:rPr>
          <w:rFonts w:ascii="Times New Roman" w:hAnsi="Times New Roman"/>
          <w:sz w:val="24"/>
          <w:szCs w:val="24"/>
        </w:rPr>
        <w:t xml:space="preserve"> dagli ultimi gravami feudali.</w:t>
      </w:r>
    </w:p>
    <w:p w14:paraId="08A9B17C" w14:textId="77777777" w:rsidR="008C5D02" w:rsidRDefault="00C947BB" w:rsidP="008C5D02">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Il decennio del neo-assolutismo, chiuso dalla scon</w:t>
      </w:r>
      <w:r w:rsidR="00C767CA">
        <w:rPr>
          <w:rFonts w:ascii="Times New Roman" w:hAnsi="Times New Roman"/>
          <w:sz w:val="24"/>
          <w:szCs w:val="24"/>
        </w:rPr>
        <w:t xml:space="preserve">fitta del 1859 contro il Regno di Sardegna </w:t>
      </w:r>
      <w:r>
        <w:rPr>
          <w:rFonts w:ascii="Times New Roman" w:hAnsi="Times New Roman"/>
          <w:sz w:val="24"/>
          <w:szCs w:val="24"/>
        </w:rPr>
        <w:t>e la Francia di Napoleone III, viene comunque valutato sulla base dell’attività di riforma, portata avanti dal gruppo di notabili emerso dalla rivoluzione, fra i quali le menti più fervide furono</w:t>
      </w:r>
      <w:r w:rsidR="00936D81">
        <w:rPr>
          <w:rFonts w:ascii="Times New Roman" w:hAnsi="Times New Roman"/>
          <w:sz w:val="24"/>
          <w:szCs w:val="24"/>
        </w:rPr>
        <w:t xml:space="preserve"> quelle di</w:t>
      </w:r>
      <w:r>
        <w:rPr>
          <w:rFonts w:ascii="Times New Roman" w:hAnsi="Times New Roman"/>
          <w:sz w:val="24"/>
          <w:szCs w:val="24"/>
        </w:rPr>
        <w:t xml:space="preserve"> Anton </w:t>
      </w:r>
      <w:r w:rsidR="00384C8F">
        <w:rPr>
          <w:rFonts w:ascii="Times New Roman" w:hAnsi="Times New Roman"/>
          <w:sz w:val="24"/>
          <w:szCs w:val="24"/>
        </w:rPr>
        <w:t>von Schmerling e Karl von Bruck</w:t>
      </w:r>
      <w:r>
        <w:rPr>
          <w:rStyle w:val="Rimandonotaapidipagina"/>
          <w:rFonts w:ascii="Times New Roman" w:hAnsi="Times New Roman"/>
          <w:sz w:val="24"/>
          <w:szCs w:val="24"/>
        </w:rPr>
        <w:footnoteReference w:id="40"/>
      </w:r>
      <w:r w:rsidR="00384C8F">
        <w:rPr>
          <w:rFonts w:ascii="Times New Roman" w:hAnsi="Times New Roman"/>
          <w:sz w:val="24"/>
          <w:szCs w:val="24"/>
        </w:rPr>
        <w:t>.</w:t>
      </w:r>
      <w:r>
        <w:rPr>
          <w:rFonts w:ascii="Times New Roman" w:hAnsi="Times New Roman"/>
          <w:sz w:val="24"/>
          <w:szCs w:val="24"/>
        </w:rPr>
        <w:t xml:space="preserve"> </w:t>
      </w:r>
      <w:commentRangeStart w:id="51"/>
      <w:commentRangeStart w:id="52"/>
      <w:r>
        <w:rPr>
          <w:rFonts w:ascii="Times New Roman" w:hAnsi="Times New Roman"/>
          <w:sz w:val="24"/>
          <w:szCs w:val="24"/>
        </w:rPr>
        <w:t>Il periodo rappresenterebbe l’ultimo</w:t>
      </w:r>
      <w:r w:rsidR="00593328">
        <w:rPr>
          <w:rFonts w:ascii="Times New Roman" w:hAnsi="Times New Roman"/>
          <w:sz w:val="24"/>
          <w:szCs w:val="24"/>
        </w:rPr>
        <w:t xml:space="preserve"> tentativo dei liber</w:t>
      </w:r>
      <w:r w:rsidR="00C1309D">
        <w:rPr>
          <w:rFonts w:ascii="Times New Roman" w:hAnsi="Times New Roman"/>
          <w:sz w:val="24"/>
          <w:szCs w:val="24"/>
        </w:rPr>
        <w:t xml:space="preserve">ali tedeschi in Austria di porre in essere lo Stato </w:t>
      </w:r>
      <w:r w:rsidR="00593328">
        <w:rPr>
          <w:rFonts w:ascii="Times New Roman" w:hAnsi="Times New Roman"/>
          <w:sz w:val="24"/>
          <w:szCs w:val="24"/>
        </w:rPr>
        <w:t>costituzionale</w:t>
      </w:r>
      <w:r w:rsidR="00C1309D">
        <w:rPr>
          <w:rFonts w:ascii="Times New Roman" w:hAnsi="Times New Roman"/>
          <w:sz w:val="24"/>
          <w:szCs w:val="24"/>
        </w:rPr>
        <w:t xml:space="preserve"> e centralizzato</w:t>
      </w:r>
      <w:r w:rsidR="00936D81">
        <w:rPr>
          <w:rFonts w:ascii="Times New Roman" w:hAnsi="Times New Roman"/>
          <w:sz w:val="24"/>
          <w:szCs w:val="24"/>
        </w:rPr>
        <w:t>, mantenendo al</w:t>
      </w:r>
      <w:r>
        <w:rPr>
          <w:rFonts w:ascii="Times New Roman" w:hAnsi="Times New Roman"/>
          <w:sz w:val="24"/>
          <w:szCs w:val="24"/>
        </w:rPr>
        <w:t xml:space="preserve"> conte</w:t>
      </w:r>
      <w:r w:rsidR="00593328">
        <w:rPr>
          <w:rFonts w:ascii="Times New Roman" w:hAnsi="Times New Roman"/>
          <w:sz w:val="24"/>
          <w:szCs w:val="24"/>
        </w:rPr>
        <w:t>mpo la posizione dominante dell’impero asburgico nella</w:t>
      </w:r>
      <w:r>
        <w:rPr>
          <w:rFonts w:ascii="Times New Roman" w:hAnsi="Times New Roman"/>
          <w:sz w:val="24"/>
          <w:szCs w:val="24"/>
        </w:rPr>
        <w:t xml:space="preserve"> Confederazione germanica</w:t>
      </w:r>
      <w:commentRangeEnd w:id="51"/>
      <w:r w:rsidR="00936D81">
        <w:rPr>
          <w:rStyle w:val="Rimandocommento"/>
        </w:rPr>
        <w:commentReference w:id="51"/>
      </w:r>
      <w:commentRangeEnd w:id="52"/>
      <w:r w:rsidR="00064E1D">
        <w:rPr>
          <w:rStyle w:val="Rimandocommento"/>
        </w:rPr>
        <w:commentReference w:id="52"/>
      </w:r>
      <w:r w:rsidR="00297C63">
        <w:rPr>
          <w:rFonts w:ascii="Times New Roman" w:hAnsi="Times New Roman"/>
          <w:sz w:val="24"/>
          <w:szCs w:val="24"/>
        </w:rPr>
        <w:t>.</w:t>
      </w:r>
      <w:r w:rsidR="008C5D02">
        <w:rPr>
          <w:rFonts w:ascii="Times New Roman" w:hAnsi="Times New Roman"/>
          <w:sz w:val="24"/>
          <w:szCs w:val="24"/>
        </w:rPr>
        <w:t xml:space="preserve"> </w:t>
      </w:r>
    </w:p>
    <w:p w14:paraId="69545C7A" w14:textId="710A8CAE" w:rsidR="00297C63" w:rsidRDefault="00C947BB" w:rsidP="008C5D02">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lastRenderedPageBreak/>
        <w:t>Sul piano dei rapporti con Vienna, l’Ungheria</w:t>
      </w:r>
      <w:r w:rsidR="00297C63">
        <w:rPr>
          <w:rFonts w:ascii="Times New Roman" w:hAnsi="Times New Roman"/>
          <w:sz w:val="24"/>
          <w:szCs w:val="24"/>
        </w:rPr>
        <w:t>,</w:t>
      </w:r>
      <w:r>
        <w:rPr>
          <w:rFonts w:ascii="Times New Roman" w:hAnsi="Times New Roman"/>
          <w:sz w:val="24"/>
          <w:szCs w:val="24"/>
        </w:rPr>
        <w:t xml:space="preserve"> sottomessa ad un duro regime di polizia e privata delle sue tradizionali prerogative</w:t>
      </w:r>
      <w:r w:rsidR="00297C63">
        <w:rPr>
          <w:rFonts w:ascii="Times New Roman" w:hAnsi="Times New Roman"/>
          <w:sz w:val="24"/>
          <w:szCs w:val="24"/>
        </w:rPr>
        <w:t>,</w:t>
      </w:r>
      <w:r>
        <w:rPr>
          <w:rFonts w:ascii="Times New Roman" w:hAnsi="Times New Roman"/>
          <w:sz w:val="24"/>
          <w:szCs w:val="24"/>
        </w:rPr>
        <w:t xml:space="preserve"> dovette attendere il 1859 per rinegoz</w:t>
      </w:r>
      <w:r w:rsidR="00297C63">
        <w:rPr>
          <w:rFonts w:ascii="Times New Roman" w:hAnsi="Times New Roman"/>
          <w:sz w:val="24"/>
          <w:szCs w:val="24"/>
        </w:rPr>
        <w:t>iare la propria posizione nell’I</w:t>
      </w:r>
      <w:r w:rsidR="00941FC0">
        <w:rPr>
          <w:rFonts w:ascii="Times New Roman" w:hAnsi="Times New Roman"/>
          <w:sz w:val="24"/>
          <w:szCs w:val="24"/>
        </w:rPr>
        <w:t>mpero. G</w:t>
      </w:r>
      <w:r>
        <w:rPr>
          <w:rFonts w:ascii="Times New Roman" w:hAnsi="Times New Roman"/>
          <w:sz w:val="24"/>
          <w:szCs w:val="24"/>
        </w:rPr>
        <w:t>li anni dal 1860 al 1866 furono una grande occasione per giungere alla ridefinizio</w:t>
      </w:r>
      <w:r w:rsidR="00297C63">
        <w:rPr>
          <w:rFonts w:ascii="Times New Roman" w:hAnsi="Times New Roman"/>
          <w:sz w:val="24"/>
          <w:szCs w:val="24"/>
        </w:rPr>
        <w:t>ne degli assetti interni della m</w:t>
      </w:r>
      <w:r>
        <w:rPr>
          <w:rFonts w:ascii="Times New Roman" w:hAnsi="Times New Roman"/>
          <w:sz w:val="24"/>
          <w:szCs w:val="24"/>
        </w:rPr>
        <w:t xml:space="preserve">onarchia asburgica. Gli esperimenti costituzionali che portarono dapprima alla formazione del </w:t>
      </w:r>
      <w:r w:rsidRPr="00E47DCD">
        <w:rPr>
          <w:rFonts w:ascii="Times New Roman" w:hAnsi="Times New Roman"/>
          <w:i/>
          <w:sz w:val="24"/>
          <w:szCs w:val="24"/>
        </w:rPr>
        <w:t>Reichsrat</w:t>
      </w:r>
      <w:r w:rsidR="00297C63">
        <w:rPr>
          <w:rFonts w:ascii="Times New Roman" w:hAnsi="Times New Roman"/>
          <w:sz w:val="24"/>
          <w:szCs w:val="24"/>
        </w:rPr>
        <w:t xml:space="preserve"> dei notabili, il 31 maggio 1860,</w:t>
      </w:r>
      <w:r>
        <w:rPr>
          <w:rFonts w:ascii="Times New Roman" w:hAnsi="Times New Roman"/>
          <w:sz w:val="24"/>
          <w:szCs w:val="24"/>
        </w:rPr>
        <w:t xml:space="preserve"> e successivamente</w:t>
      </w:r>
      <w:r w:rsidR="00297C63">
        <w:rPr>
          <w:rFonts w:ascii="Times New Roman" w:hAnsi="Times New Roman"/>
          <w:sz w:val="24"/>
          <w:szCs w:val="24"/>
        </w:rPr>
        <w:t xml:space="preserve"> al Diploma di Ottobre del 1860 –</w:t>
      </w:r>
      <w:r>
        <w:rPr>
          <w:rFonts w:ascii="Times New Roman" w:hAnsi="Times New Roman"/>
          <w:sz w:val="24"/>
          <w:szCs w:val="24"/>
        </w:rPr>
        <w:t xml:space="preserve"> progetto federalistico sostenuto da aristocratici conservatori ungheresi e boemi</w:t>
      </w:r>
      <w:r>
        <w:rPr>
          <w:rStyle w:val="Rimandonotaapidipagina"/>
          <w:rFonts w:ascii="Times New Roman" w:hAnsi="Times New Roman"/>
          <w:sz w:val="24"/>
          <w:szCs w:val="24"/>
        </w:rPr>
        <w:footnoteReference w:id="41"/>
      </w:r>
      <w:r w:rsidR="00297C63">
        <w:rPr>
          <w:rFonts w:ascii="Times New Roman" w:hAnsi="Times New Roman"/>
          <w:sz w:val="24"/>
          <w:szCs w:val="24"/>
        </w:rPr>
        <w:t xml:space="preserve"> –</w:t>
      </w:r>
      <w:r>
        <w:rPr>
          <w:rFonts w:ascii="Times New Roman" w:hAnsi="Times New Roman"/>
          <w:sz w:val="24"/>
          <w:szCs w:val="24"/>
        </w:rPr>
        <w:t xml:space="preserve"> infine alla Patente di Febbraio </w:t>
      </w:r>
      <w:r w:rsidR="00297C63">
        <w:rPr>
          <w:rFonts w:ascii="Times New Roman" w:hAnsi="Times New Roman"/>
          <w:sz w:val="24"/>
          <w:szCs w:val="24"/>
        </w:rPr>
        <w:t>del 1861, andarono tutti nel senso d’</w:t>
      </w:r>
      <w:commentRangeStart w:id="53"/>
      <w:commentRangeStart w:id="54"/>
      <w:r>
        <w:rPr>
          <w:rFonts w:ascii="Times New Roman" w:hAnsi="Times New Roman"/>
          <w:sz w:val="24"/>
          <w:szCs w:val="24"/>
        </w:rPr>
        <w:t>u</w:t>
      </w:r>
      <w:r w:rsidR="00412EE9">
        <w:rPr>
          <w:rFonts w:ascii="Times New Roman" w:hAnsi="Times New Roman"/>
          <w:sz w:val="24"/>
          <w:szCs w:val="24"/>
        </w:rPr>
        <w:t>n ripristino del</w:t>
      </w:r>
      <w:r>
        <w:rPr>
          <w:rFonts w:ascii="Times New Roman" w:hAnsi="Times New Roman"/>
          <w:sz w:val="24"/>
          <w:szCs w:val="24"/>
        </w:rPr>
        <w:t>la Costituzione del 1849</w:t>
      </w:r>
      <w:commentRangeEnd w:id="53"/>
      <w:r w:rsidR="00297C63">
        <w:rPr>
          <w:rStyle w:val="Rimandocommento"/>
        </w:rPr>
        <w:commentReference w:id="53"/>
      </w:r>
      <w:commentRangeEnd w:id="54"/>
      <w:r w:rsidR="00064E1D">
        <w:rPr>
          <w:rStyle w:val="Rimandocommento"/>
        </w:rPr>
        <w:commentReference w:id="54"/>
      </w:r>
      <w:r w:rsidR="00297C63">
        <w:rPr>
          <w:rFonts w:ascii="Times New Roman" w:hAnsi="Times New Roman"/>
          <w:sz w:val="24"/>
          <w:szCs w:val="24"/>
        </w:rPr>
        <w:t>.</w:t>
      </w:r>
    </w:p>
    <w:p w14:paraId="646CA383" w14:textId="09FFE552" w:rsidR="0081109D" w:rsidRDefault="00C947BB" w:rsidP="006D6265">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Se accettato da tutte le na</w:t>
      </w:r>
      <w:r w:rsidR="00662A10">
        <w:rPr>
          <w:rFonts w:ascii="Times New Roman" w:hAnsi="Times New Roman"/>
          <w:sz w:val="24"/>
          <w:szCs w:val="24"/>
        </w:rPr>
        <w:t xml:space="preserve">zionalità, il Parlamento imperiale </w:t>
      </w:r>
      <w:r>
        <w:rPr>
          <w:rFonts w:ascii="Times New Roman" w:hAnsi="Times New Roman"/>
          <w:sz w:val="24"/>
          <w:szCs w:val="24"/>
        </w:rPr>
        <w:t>previsto nel 1861 avrebbe portato a compimento un percorso di trasformazione liberale</w:t>
      </w:r>
      <w:r w:rsidR="00297C63">
        <w:rPr>
          <w:rFonts w:ascii="Times New Roman" w:hAnsi="Times New Roman"/>
          <w:sz w:val="24"/>
          <w:szCs w:val="24"/>
        </w:rPr>
        <w:t>,</w:t>
      </w:r>
      <w:r>
        <w:rPr>
          <w:rFonts w:ascii="Times New Roman" w:hAnsi="Times New Roman"/>
          <w:sz w:val="24"/>
          <w:szCs w:val="24"/>
        </w:rPr>
        <w:t xml:space="preserve"> al quale poteva seguire una completa </w:t>
      </w:r>
      <w:r w:rsidR="00297C63">
        <w:rPr>
          <w:rFonts w:ascii="Times New Roman" w:hAnsi="Times New Roman"/>
          <w:sz w:val="24"/>
          <w:szCs w:val="24"/>
        </w:rPr>
        <w:t>ristrutturazione federale dell’I</w:t>
      </w:r>
      <w:r>
        <w:rPr>
          <w:rFonts w:ascii="Times New Roman" w:hAnsi="Times New Roman"/>
          <w:sz w:val="24"/>
          <w:szCs w:val="24"/>
        </w:rPr>
        <w:t>mpero, l’esito</w:t>
      </w:r>
      <w:r w:rsidR="00297C63">
        <w:rPr>
          <w:rFonts w:ascii="Times New Roman" w:hAnsi="Times New Roman"/>
          <w:sz w:val="24"/>
          <w:szCs w:val="24"/>
        </w:rPr>
        <w:t xml:space="preserve"> più temuto dagli ungheresi: l’I</w:t>
      </w:r>
      <w:r>
        <w:rPr>
          <w:rFonts w:ascii="Times New Roman" w:hAnsi="Times New Roman"/>
          <w:sz w:val="24"/>
          <w:szCs w:val="24"/>
        </w:rPr>
        <w:t xml:space="preserve">mpero d’Austria non sarebbe divenuto uno Stato </w:t>
      </w:r>
      <w:commentRangeStart w:id="55"/>
      <w:commentRangeStart w:id="56"/>
      <w:r>
        <w:rPr>
          <w:rFonts w:ascii="Times New Roman" w:hAnsi="Times New Roman"/>
          <w:sz w:val="24"/>
          <w:szCs w:val="24"/>
        </w:rPr>
        <w:t>a</w:t>
      </w:r>
      <w:r w:rsidR="00662A10">
        <w:rPr>
          <w:rFonts w:ascii="Times New Roman" w:hAnsi="Times New Roman"/>
          <w:sz w:val="24"/>
          <w:szCs w:val="24"/>
        </w:rPr>
        <w:t>-</w:t>
      </w:r>
      <w:r>
        <w:rPr>
          <w:rFonts w:ascii="Times New Roman" w:hAnsi="Times New Roman"/>
          <w:sz w:val="24"/>
          <w:szCs w:val="24"/>
        </w:rPr>
        <w:t>nazionale</w:t>
      </w:r>
      <w:commentRangeEnd w:id="55"/>
      <w:r w:rsidR="00297C63">
        <w:rPr>
          <w:rStyle w:val="Rimandocommento"/>
        </w:rPr>
        <w:commentReference w:id="55"/>
      </w:r>
      <w:commentRangeEnd w:id="56"/>
      <w:r w:rsidR="00064E1D">
        <w:rPr>
          <w:rStyle w:val="Rimandocommento"/>
        </w:rPr>
        <w:commentReference w:id="56"/>
      </w:r>
      <w:r>
        <w:rPr>
          <w:rFonts w:ascii="Times New Roman" w:hAnsi="Times New Roman"/>
          <w:sz w:val="24"/>
          <w:szCs w:val="24"/>
        </w:rPr>
        <w:t>, ma politicamente multinazionale a</w:t>
      </w:r>
      <w:r w:rsidR="00064E1D">
        <w:rPr>
          <w:rFonts w:ascii="Times New Roman" w:hAnsi="Times New Roman"/>
          <w:sz w:val="24"/>
          <w:szCs w:val="24"/>
        </w:rPr>
        <w:t>ll’insegna del liberalismo</w:t>
      </w:r>
      <w:r>
        <w:rPr>
          <w:rFonts w:ascii="Times New Roman" w:hAnsi="Times New Roman"/>
          <w:sz w:val="24"/>
          <w:szCs w:val="24"/>
        </w:rPr>
        <w:t xml:space="preserve"> cui la parte austriaca te</w:t>
      </w:r>
      <w:r w:rsidR="00297C63">
        <w:rPr>
          <w:rFonts w:ascii="Times New Roman" w:hAnsi="Times New Roman"/>
          <w:sz w:val="24"/>
          <w:szCs w:val="24"/>
        </w:rPr>
        <w:t>neva forse più degli ungheresi.</w:t>
      </w:r>
      <w:r>
        <w:rPr>
          <w:rFonts w:ascii="Times New Roman" w:hAnsi="Times New Roman"/>
          <w:sz w:val="24"/>
          <w:szCs w:val="24"/>
        </w:rPr>
        <w:t xml:space="preserve"> </w:t>
      </w:r>
      <w:commentRangeStart w:id="57"/>
      <w:commentRangeStart w:id="58"/>
      <w:r>
        <w:rPr>
          <w:rFonts w:ascii="Times New Roman" w:hAnsi="Times New Roman"/>
          <w:sz w:val="24"/>
          <w:szCs w:val="24"/>
        </w:rPr>
        <w:t xml:space="preserve"> </w:t>
      </w:r>
      <w:r w:rsidR="00151A01">
        <w:rPr>
          <w:rFonts w:ascii="Times New Roman" w:hAnsi="Times New Roman"/>
          <w:sz w:val="24"/>
          <w:szCs w:val="24"/>
        </w:rPr>
        <w:t>Gli italiani e gli ungheres</w:t>
      </w:r>
      <w:r>
        <w:rPr>
          <w:rFonts w:ascii="Times New Roman" w:hAnsi="Times New Roman"/>
          <w:sz w:val="24"/>
          <w:szCs w:val="24"/>
        </w:rPr>
        <w:t>i</w:t>
      </w:r>
      <w:r w:rsidR="00151A01">
        <w:rPr>
          <w:rFonts w:ascii="Times New Roman" w:hAnsi="Times New Roman"/>
          <w:sz w:val="24"/>
          <w:szCs w:val="24"/>
        </w:rPr>
        <w:t>, guidati da battagliere classi dirigenti nazionali, si</w:t>
      </w:r>
      <w:r>
        <w:rPr>
          <w:rFonts w:ascii="Times New Roman" w:hAnsi="Times New Roman"/>
          <w:sz w:val="24"/>
          <w:szCs w:val="24"/>
        </w:rPr>
        <w:t xml:space="preserve"> rivelarono os</w:t>
      </w:r>
      <w:r w:rsidR="00EB4965">
        <w:rPr>
          <w:rFonts w:ascii="Times New Roman" w:hAnsi="Times New Roman"/>
          <w:sz w:val="24"/>
          <w:szCs w:val="24"/>
        </w:rPr>
        <w:t>tacoli formidabili sulla via d’</w:t>
      </w:r>
      <w:r>
        <w:rPr>
          <w:rFonts w:ascii="Times New Roman" w:hAnsi="Times New Roman"/>
          <w:sz w:val="24"/>
          <w:szCs w:val="24"/>
        </w:rPr>
        <w:t>un accordo che s</w:t>
      </w:r>
      <w:r w:rsidR="00662A10">
        <w:rPr>
          <w:rFonts w:ascii="Times New Roman" w:hAnsi="Times New Roman"/>
          <w:sz w:val="24"/>
          <w:szCs w:val="24"/>
        </w:rPr>
        <w:t>oddisfacesse il complesso dei popoli</w:t>
      </w:r>
      <w:r w:rsidR="00EB4965">
        <w:rPr>
          <w:rFonts w:ascii="Times New Roman" w:hAnsi="Times New Roman"/>
          <w:sz w:val="24"/>
          <w:szCs w:val="24"/>
        </w:rPr>
        <w:t xml:space="preserve"> dell’I</w:t>
      </w:r>
      <w:r>
        <w:rPr>
          <w:rFonts w:ascii="Times New Roman" w:hAnsi="Times New Roman"/>
          <w:sz w:val="24"/>
          <w:szCs w:val="24"/>
        </w:rPr>
        <w:t>mpero</w:t>
      </w:r>
      <w:commentRangeEnd w:id="57"/>
      <w:r w:rsidR="00EB4965">
        <w:rPr>
          <w:rStyle w:val="Rimandocommento"/>
        </w:rPr>
        <w:commentReference w:id="57"/>
      </w:r>
      <w:commentRangeEnd w:id="58"/>
      <w:r w:rsidR="00064E1D">
        <w:rPr>
          <w:rStyle w:val="Rimandocommento"/>
        </w:rPr>
        <w:commentReference w:id="58"/>
      </w:r>
      <w:r w:rsidR="001A36CC">
        <w:rPr>
          <w:rStyle w:val="Rimandonotaapidipagina"/>
          <w:rFonts w:ascii="Times New Roman" w:hAnsi="Times New Roman"/>
          <w:sz w:val="24"/>
          <w:szCs w:val="24"/>
        </w:rPr>
        <w:footnoteReference w:id="42"/>
      </w:r>
      <w:r w:rsidR="0081109D">
        <w:rPr>
          <w:rFonts w:ascii="Times New Roman" w:hAnsi="Times New Roman"/>
          <w:sz w:val="24"/>
          <w:szCs w:val="24"/>
        </w:rPr>
        <w:t>.</w:t>
      </w:r>
      <w:r w:rsidR="00151A01">
        <w:rPr>
          <w:rFonts w:ascii="Times New Roman" w:hAnsi="Times New Roman"/>
          <w:sz w:val="24"/>
          <w:szCs w:val="24"/>
        </w:rPr>
        <w:t xml:space="preserve"> </w:t>
      </w:r>
    </w:p>
    <w:p w14:paraId="36C9C7B6" w14:textId="16C94F6A" w:rsidR="00D2202F" w:rsidRPr="00151A01" w:rsidRDefault="00355B6A" w:rsidP="00315D29">
      <w:pPr>
        <w:pStyle w:val="Testocommento"/>
        <w:spacing w:line="360" w:lineRule="auto"/>
        <w:ind w:right="567"/>
        <w:jc w:val="both"/>
        <w:rPr>
          <w:rFonts w:ascii="Times New Roman" w:hAnsi="Times New Roman"/>
          <w:sz w:val="24"/>
          <w:szCs w:val="24"/>
        </w:rPr>
      </w:pPr>
      <w:r>
        <w:rPr>
          <w:rFonts w:ascii="Times New Roman" w:hAnsi="Times New Roman"/>
          <w:sz w:val="24"/>
          <w:szCs w:val="24"/>
        </w:rPr>
        <w:t>D</w:t>
      </w:r>
      <w:commentRangeStart w:id="59"/>
      <w:commentRangeStart w:id="60"/>
      <w:r w:rsidR="00151A01">
        <w:rPr>
          <w:rFonts w:ascii="Times New Roman" w:hAnsi="Times New Roman"/>
          <w:sz w:val="24"/>
          <w:szCs w:val="24"/>
        </w:rPr>
        <w:t xml:space="preserve">opo </w:t>
      </w:r>
      <w:r w:rsidR="00C947BB">
        <w:rPr>
          <w:rFonts w:ascii="Times New Roman" w:hAnsi="Times New Roman"/>
          <w:sz w:val="24"/>
          <w:szCs w:val="24"/>
        </w:rPr>
        <w:t xml:space="preserve">la proclamazione del regno d’Italia nel 1861, maturò nelle </w:t>
      </w:r>
      <w:r w:rsidR="00C947BB" w:rsidRPr="00D83F5A">
        <w:rPr>
          <w:rFonts w:ascii="Times New Roman" w:hAnsi="Times New Roman"/>
          <w:i/>
          <w:sz w:val="24"/>
          <w:szCs w:val="24"/>
        </w:rPr>
        <w:t>élites</w:t>
      </w:r>
      <w:r w:rsidR="00C947BB">
        <w:rPr>
          <w:rFonts w:ascii="Times New Roman" w:hAnsi="Times New Roman"/>
          <w:sz w:val="24"/>
          <w:szCs w:val="24"/>
        </w:rPr>
        <w:t xml:space="preserve"> delle terr</w:t>
      </w:r>
      <w:r w:rsidR="00D83F5A">
        <w:rPr>
          <w:rFonts w:ascii="Times New Roman" w:hAnsi="Times New Roman"/>
          <w:sz w:val="24"/>
          <w:szCs w:val="24"/>
        </w:rPr>
        <w:t>e italofon</w:t>
      </w:r>
      <w:r w:rsidR="00662A10">
        <w:rPr>
          <w:rFonts w:ascii="Times New Roman" w:hAnsi="Times New Roman"/>
          <w:sz w:val="24"/>
          <w:szCs w:val="24"/>
        </w:rPr>
        <w:t xml:space="preserve">e </w:t>
      </w:r>
      <w:r w:rsidR="00D83F5A">
        <w:rPr>
          <w:rFonts w:ascii="Times New Roman" w:hAnsi="Times New Roman"/>
          <w:sz w:val="24"/>
          <w:szCs w:val="24"/>
        </w:rPr>
        <w:t>della m</w:t>
      </w:r>
      <w:r w:rsidR="00C947BB">
        <w:rPr>
          <w:rFonts w:ascii="Times New Roman" w:hAnsi="Times New Roman"/>
          <w:sz w:val="24"/>
          <w:szCs w:val="24"/>
        </w:rPr>
        <w:t xml:space="preserve">onarchia asburgica la </w:t>
      </w:r>
      <w:commentRangeStart w:id="61"/>
      <w:commentRangeStart w:id="62"/>
      <w:r w:rsidR="00C947BB">
        <w:rPr>
          <w:rFonts w:ascii="Times New Roman" w:hAnsi="Times New Roman"/>
          <w:sz w:val="24"/>
          <w:szCs w:val="24"/>
        </w:rPr>
        <w:t>convinzione dell’</w:t>
      </w:r>
      <w:r w:rsidR="00197D1B">
        <w:rPr>
          <w:rFonts w:ascii="Times New Roman" w:hAnsi="Times New Roman"/>
          <w:sz w:val="24"/>
          <w:szCs w:val="24"/>
        </w:rPr>
        <w:t>esistenza di</w:t>
      </w:r>
      <w:r w:rsidR="00662A10">
        <w:rPr>
          <w:rFonts w:ascii="Times New Roman" w:hAnsi="Times New Roman"/>
          <w:sz w:val="24"/>
          <w:szCs w:val="24"/>
        </w:rPr>
        <w:t xml:space="preserve"> un’</w:t>
      </w:r>
      <w:r w:rsidR="00C947BB">
        <w:rPr>
          <w:rFonts w:ascii="Times New Roman" w:hAnsi="Times New Roman"/>
          <w:sz w:val="24"/>
          <w:szCs w:val="24"/>
        </w:rPr>
        <w:t xml:space="preserve">alleanza politica </w:t>
      </w:r>
      <w:commentRangeEnd w:id="61"/>
      <w:r w:rsidR="005E40EE">
        <w:rPr>
          <w:rStyle w:val="Rimandocommento"/>
        </w:rPr>
        <w:commentReference w:id="61"/>
      </w:r>
      <w:commentRangeEnd w:id="62"/>
      <w:r w:rsidR="00197D1B">
        <w:rPr>
          <w:rStyle w:val="Rimandocommento"/>
        </w:rPr>
        <w:commentReference w:id="62"/>
      </w:r>
      <w:r w:rsidR="00C947BB">
        <w:rPr>
          <w:rFonts w:ascii="Times New Roman" w:hAnsi="Times New Roman"/>
          <w:sz w:val="24"/>
          <w:szCs w:val="24"/>
        </w:rPr>
        <w:t xml:space="preserve">degli Asburgo con le </w:t>
      </w:r>
      <w:r w:rsidR="00C947BB" w:rsidRPr="00662A10">
        <w:rPr>
          <w:rFonts w:ascii="Times New Roman" w:hAnsi="Times New Roman"/>
          <w:sz w:val="24"/>
          <w:szCs w:val="24"/>
        </w:rPr>
        <w:t>nazionalità</w:t>
      </w:r>
      <w:r w:rsidR="00D83F5A" w:rsidRPr="00662A10">
        <w:rPr>
          <w:rFonts w:ascii="Times New Roman" w:hAnsi="Times New Roman"/>
          <w:sz w:val="24"/>
          <w:szCs w:val="24"/>
        </w:rPr>
        <w:t xml:space="preserve"> slave dell’I</w:t>
      </w:r>
      <w:r w:rsidR="00C036B6">
        <w:rPr>
          <w:rFonts w:ascii="Times New Roman" w:hAnsi="Times New Roman"/>
          <w:sz w:val="24"/>
          <w:szCs w:val="24"/>
        </w:rPr>
        <w:t>mpero</w:t>
      </w:r>
      <w:r w:rsidR="00C947BB" w:rsidRPr="00662A10">
        <w:rPr>
          <w:rFonts w:ascii="Times New Roman" w:hAnsi="Times New Roman"/>
          <w:sz w:val="24"/>
          <w:szCs w:val="24"/>
        </w:rPr>
        <w:t xml:space="preserve">, con la conseguenza che la difesa </w:t>
      </w:r>
      <w:r w:rsidR="00662A10" w:rsidRPr="00662A10">
        <w:rPr>
          <w:rFonts w:ascii="Times New Roman" w:hAnsi="Times New Roman"/>
          <w:sz w:val="24"/>
          <w:szCs w:val="24"/>
        </w:rPr>
        <w:t>dell’</w:t>
      </w:r>
      <w:r w:rsidR="00662A10">
        <w:rPr>
          <w:rFonts w:ascii="Times New Roman" w:hAnsi="Times New Roman"/>
          <w:sz w:val="24"/>
          <w:szCs w:val="24"/>
        </w:rPr>
        <w:t>autonomia nazionale,</w:t>
      </w:r>
      <w:r w:rsidR="00C947BB">
        <w:rPr>
          <w:rFonts w:ascii="Times New Roman" w:hAnsi="Times New Roman"/>
          <w:sz w:val="24"/>
          <w:szCs w:val="24"/>
        </w:rPr>
        <w:t xml:space="preserve"> diversamente intesa e applicata nel Trentino e sull’Adriatico, divenne l’istanza fondamentale degli italiani dell’Austria</w:t>
      </w:r>
      <w:commentRangeEnd w:id="59"/>
      <w:r w:rsidR="00D83F5A">
        <w:rPr>
          <w:rStyle w:val="Rimandocommento"/>
        </w:rPr>
        <w:commentReference w:id="59"/>
      </w:r>
      <w:commentRangeEnd w:id="60"/>
      <w:r w:rsidR="00197D1B">
        <w:rPr>
          <w:rStyle w:val="Rimandocommento"/>
        </w:rPr>
        <w:commentReference w:id="60"/>
      </w:r>
      <w:r w:rsidR="00C947BB">
        <w:rPr>
          <w:rStyle w:val="Rimandonotaapidipagina"/>
          <w:rFonts w:ascii="Times New Roman" w:hAnsi="Times New Roman"/>
          <w:sz w:val="24"/>
          <w:szCs w:val="24"/>
        </w:rPr>
        <w:footnoteReference w:id="43"/>
      </w:r>
      <w:r w:rsidR="00D2202F">
        <w:rPr>
          <w:rFonts w:ascii="Times New Roman" w:hAnsi="Times New Roman"/>
          <w:sz w:val="24"/>
          <w:szCs w:val="24"/>
        </w:rPr>
        <w:t>.</w:t>
      </w:r>
      <w:r w:rsidR="00151A01">
        <w:rPr>
          <w:rFonts w:ascii="Times New Roman" w:hAnsi="Times New Roman"/>
          <w:sz w:val="24"/>
          <w:szCs w:val="24"/>
        </w:rPr>
        <w:t xml:space="preserve"> Che gli Asburgo</w:t>
      </w:r>
      <w:r w:rsidR="00151A01" w:rsidRPr="00151A01">
        <w:rPr>
          <w:rFonts w:ascii="Times New Roman" w:hAnsi="Times New Roman"/>
          <w:sz w:val="24"/>
          <w:szCs w:val="24"/>
        </w:rPr>
        <w:t xml:space="preserve"> cercasse</w:t>
      </w:r>
      <w:r w:rsidR="00151A01">
        <w:rPr>
          <w:rFonts w:ascii="Times New Roman" w:hAnsi="Times New Roman"/>
          <w:sz w:val="24"/>
          <w:szCs w:val="24"/>
        </w:rPr>
        <w:t>ro</w:t>
      </w:r>
      <w:r w:rsidR="00151A01" w:rsidRPr="00151A01">
        <w:rPr>
          <w:rFonts w:ascii="Times New Roman" w:hAnsi="Times New Roman"/>
          <w:sz w:val="24"/>
          <w:szCs w:val="24"/>
        </w:rPr>
        <w:t xml:space="preserve"> la collaborazione dei </w:t>
      </w:r>
      <w:r w:rsidR="00315D29">
        <w:rPr>
          <w:rFonts w:ascii="Times New Roman" w:hAnsi="Times New Roman"/>
          <w:sz w:val="24"/>
          <w:szCs w:val="24"/>
        </w:rPr>
        <w:t>sudditi inclini a non porre in discussione l’appartenenza</w:t>
      </w:r>
      <w:r w:rsidR="00151A01">
        <w:rPr>
          <w:rFonts w:ascii="Times New Roman" w:hAnsi="Times New Roman"/>
          <w:sz w:val="24"/>
          <w:szCs w:val="24"/>
        </w:rPr>
        <w:t xml:space="preserve"> all</w:t>
      </w:r>
      <w:r w:rsidR="004A3DAC">
        <w:rPr>
          <w:rFonts w:ascii="Times New Roman" w:hAnsi="Times New Roman"/>
          <w:sz w:val="24"/>
          <w:szCs w:val="24"/>
        </w:rPr>
        <w:t>a Monarchia</w:t>
      </w:r>
      <w:r w:rsidR="00315D29">
        <w:rPr>
          <w:rFonts w:ascii="Times New Roman" w:hAnsi="Times New Roman"/>
          <w:sz w:val="24"/>
          <w:szCs w:val="24"/>
        </w:rPr>
        <w:t xml:space="preserve"> e perfino a</w:t>
      </w:r>
      <w:r w:rsidR="00151A01">
        <w:rPr>
          <w:rFonts w:ascii="Times New Roman" w:hAnsi="Times New Roman"/>
          <w:sz w:val="24"/>
          <w:szCs w:val="24"/>
        </w:rPr>
        <w:t xml:space="preserve"> cercarne </w:t>
      </w:r>
      <w:r w:rsidR="00315D29">
        <w:rPr>
          <w:rFonts w:ascii="Times New Roman" w:hAnsi="Times New Roman"/>
          <w:sz w:val="24"/>
          <w:szCs w:val="24"/>
        </w:rPr>
        <w:t>la protezione,</w:t>
      </w:r>
      <w:r w:rsidR="004A3DAC">
        <w:rPr>
          <w:rFonts w:ascii="Times New Roman" w:hAnsi="Times New Roman"/>
          <w:sz w:val="24"/>
          <w:szCs w:val="24"/>
        </w:rPr>
        <w:t xml:space="preserve"> costituiva</w:t>
      </w:r>
      <w:r w:rsidR="00E81A29">
        <w:rPr>
          <w:rFonts w:ascii="Times New Roman" w:hAnsi="Times New Roman"/>
          <w:sz w:val="24"/>
          <w:szCs w:val="24"/>
        </w:rPr>
        <w:t xml:space="preserve"> peraltro</w:t>
      </w:r>
      <w:r w:rsidR="004A3DAC">
        <w:rPr>
          <w:rFonts w:ascii="Times New Roman" w:hAnsi="Times New Roman"/>
          <w:sz w:val="24"/>
          <w:szCs w:val="24"/>
        </w:rPr>
        <w:t xml:space="preserve"> una tattica</w:t>
      </w:r>
      <w:r w:rsidR="00E81A29">
        <w:rPr>
          <w:rFonts w:ascii="Times New Roman" w:hAnsi="Times New Roman"/>
          <w:sz w:val="24"/>
          <w:szCs w:val="24"/>
        </w:rPr>
        <w:t xml:space="preserve"> adattabile ai tempi e alle circostanze, coerente con gli interessi di una dinastia imperiale.</w:t>
      </w:r>
      <w:r w:rsidR="00315D29">
        <w:rPr>
          <w:rFonts w:ascii="Times New Roman" w:hAnsi="Times New Roman"/>
          <w:sz w:val="24"/>
          <w:szCs w:val="24"/>
        </w:rPr>
        <w:t xml:space="preserve"> </w:t>
      </w:r>
    </w:p>
    <w:p w14:paraId="75FF52E7" w14:textId="644A7214" w:rsidR="00B52D70" w:rsidRDefault="00C947BB" w:rsidP="006D6265">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Del pari</w:t>
      </w:r>
      <w:r w:rsidR="00D2202F">
        <w:rPr>
          <w:rFonts w:ascii="Times New Roman" w:hAnsi="Times New Roman"/>
          <w:sz w:val="24"/>
          <w:szCs w:val="24"/>
        </w:rPr>
        <w:t>,</w:t>
      </w:r>
      <w:r>
        <w:rPr>
          <w:rFonts w:ascii="Times New Roman" w:hAnsi="Times New Roman"/>
          <w:sz w:val="24"/>
          <w:szCs w:val="24"/>
        </w:rPr>
        <w:t xml:space="preserve"> i tentativi di ridefini</w:t>
      </w:r>
      <w:r w:rsidR="00D2202F">
        <w:rPr>
          <w:rFonts w:ascii="Times New Roman" w:hAnsi="Times New Roman"/>
          <w:sz w:val="24"/>
          <w:szCs w:val="24"/>
        </w:rPr>
        <w:t>re gli equilibri interni della m</w:t>
      </w:r>
      <w:r>
        <w:rPr>
          <w:rFonts w:ascii="Times New Roman" w:hAnsi="Times New Roman"/>
          <w:sz w:val="24"/>
          <w:szCs w:val="24"/>
        </w:rPr>
        <w:t>onarchia a favore di soluzioni vicine ad un moderno federalismo, incontrarono l’irriducibile o</w:t>
      </w:r>
      <w:r w:rsidR="00D2202F">
        <w:rPr>
          <w:rFonts w:ascii="Times New Roman" w:hAnsi="Times New Roman"/>
          <w:sz w:val="24"/>
          <w:szCs w:val="24"/>
        </w:rPr>
        <w:t>stilità dei polacchi in Galizia –</w:t>
      </w:r>
      <w:r>
        <w:rPr>
          <w:rFonts w:ascii="Times New Roman" w:hAnsi="Times New Roman"/>
          <w:sz w:val="24"/>
          <w:szCs w:val="24"/>
        </w:rPr>
        <w:t xml:space="preserve"> </w:t>
      </w:r>
      <w:r>
        <w:rPr>
          <w:rFonts w:ascii="Times New Roman" w:hAnsi="Times New Roman"/>
          <w:sz w:val="24"/>
          <w:szCs w:val="24"/>
        </w:rPr>
        <w:lastRenderedPageBreak/>
        <w:t xml:space="preserve">preoccupati per lo sviluppo </w:t>
      </w:r>
      <w:r w:rsidR="00D2202F">
        <w:rPr>
          <w:rFonts w:ascii="Times New Roman" w:hAnsi="Times New Roman"/>
          <w:sz w:val="24"/>
          <w:szCs w:val="24"/>
        </w:rPr>
        <w:t>del movimento nazionale ucraino –</w:t>
      </w:r>
      <w:r>
        <w:rPr>
          <w:rFonts w:ascii="Times New Roman" w:hAnsi="Times New Roman"/>
          <w:sz w:val="24"/>
          <w:szCs w:val="24"/>
        </w:rPr>
        <w:t xml:space="preserve"> e degli ungheresi, persuasi che gli Asburgo intendessero procedere allo smembramento dei</w:t>
      </w:r>
      <w:r w:rsidR="0024092A">
        <w:rPr>
          <w:rFonts w:ascii="Times New Roman" w:hAnsi="Times New Roman"/>
          <w:sz w:val="24"/>
          <w:szCs w:val="24"/>
        </w:rPr>
        <w:t xml:space="preserve"> territori del regno di Santo Stefano</w:t>
      </w:r>
      <w:r>
        <w:rPr>
          <w:rFonts w:ascii="Times New Roman" w:hAnsi="Times New Roman"/>
          <w:sz w:val="24"/>
          <w:szCs w:val="24"/>
        </w:rPr>
        <w:t xml:space="preserve">. </w:t>
      </w:r>
    </w:p>
    <w:p w14:paraId="5F1C5430" w14:textId="3571CAEC" w:rsidR="00C947BB" w:rsidRDefault="00B52D70" w:rsidP="006D6265">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Le altre nazionalità “storiche” –</w:t>
      </w:r>
      <w:r w:rsidR="00C947BB">
        <w:rPr>
          <w:rFonts w:ascii="Times New Roman" w:hAnsi="Times New Roman"/>
          <w:sz w:val="24"/>
          <w:szCs w:val="24"/>
        </w:rPr>
        <w:t xml:space="preserve"> tedeschi dell</w:t>
      </w:r>
      <w:r w:rsidR="00C947BB" w:rsidRPr="0069118B">
        <w:rPr>
          <w:rFonts w:ascii="Times New Roman" w:hAnsi="Times New Roman"/>
          <w:sz w:val="24"/>
          <w:szCs w:val="24"/>
        </w:rPr>
        <w:t>’Austria, cechi e slavi del sud</w:t>
      </w:r>
      <w:r>
        <w:rPr>
          <w:rFonts w:ascii="Times New Roman" w:hAnsi="Times New Roman"/>
          <w:sz w:val="24"/>
          <w:szCs w:val="24"/>
        </w:rPr>
        <w:t>, ovvero serbi e croati –</w:t>
      </w:r>
      <w:r w:rsidR="00C036B6">
        <w:rPr>
          <w:rFonts w:ascii="Times New Roman" w:hAnsi="Times New Roman"/>
          <w:sz w:val="24"/>
          <w:szCs w:val="24"/>
        </w:rPr>
        <w:t xml:space="preserve"> non si </w:t>
      </w:r>
      <w:r w:rsidR="00C947BB" w:rsidRPr="0069118B">
        <w:rPr>
          <w:rFonts w:ascii="Times New Roman" w:hAnsi="Times New Roman"/>
          <w:sz w:val="24"/>
          <w:szCs w:val="24"/>
        </w:rPr>
        <w:t>mostr</w:t>
      </w:r>
      <w:r w:rsidR="00C947BB">
        <w:rPr>
          <w:rFonts w:ascii="Times New Roman" w:hAnsi="Times New Roman"/>
          <w:sz w:val="24"/>
          <w:szCs w:val="24"/>
        </w:rPr>
        <w:t>arono ostili al modello federale</w:t>
      </w:r>
      <w:r w:rsidR="00C947BB" w:rsidRPr="0069118B">
        <w:rPr>
          <w:rFonts w:ascii="Times New Roman" w:hAnsi="Times New Roman"/>
          <w:sz w:val="24"/>
          <w:szCs w:val="24"/>
        </w:rPr>
        <w:t>, perch</w:t>
      </w:r>
      <w:r w:rsidR="00E81A29">
        <w:rPr>
          <w:rFonts w:ascii="Times New Roman" w:hAnsi="Times New Roman"/>
          <w:sz w:val="24"/>
          <w:szCs w:val="24"/>
        </w:rPr>
        <w:t xml:space="preserve">é </w:t>
      </w:r>
      <w:commentRangeStart w:id="63"/>
      <w:commentRangeStart w:id="64"/>
      <w:r w:rsidR="00C947BB">
        <w:rPr>
          <w:rFonts w:ascii="Times New Roman" w:hAnsi="Times New Roman"/>
          <w:sz w:val="24"/>
          <w:szCs w:val="24"/>
        </w:rPr>
        <w:t>a</w:t>
      </w:r>
      <w:r w:rsidR="00C036B6">
        <w:rPr>
          <w:rFonts w:ascii="Times New Roman" w:hAnsi="Times New Roman"/>
          <w:sz w:val="24"/>
          <w:szCs w:val="24"/>
        </w:rPr>
        <w:t>vrebbe potuto rivelarsi</w:t>
      </w:r>
      <w:r w:rsidR="00C947BB">
        <w:rPr>
          <w:rFonts w:ascii="Times New Roman" w:hAnsi="Times New Roman"/>
          <w:sz w:val="24"/>
          <w:szCs w:val="24"/>
        </w:rPr>
        <w:t xml:space="preserve"> comunque un vantaggio</w:t>
      </w:r>
      <w:commentRangeEnd w:id="63"/>
      <w:r w:rsidR="00E00A8F">
        <w:rPr>
          <w:rStyle w:val="Rimandocommento"/>
        </w:rPr>
        <w:commentReference w:id="63"/>
      </w:r>
      <w:commentRangeEnd w:id="64"/>
      <w:r w:rsidR="00E81A29">
        <w:rPr>
          <w:rStyle w:val="Rimandocommento"/>
        </w:rPr>
        <w:commentReference w:id="64"/>
      </w:r>
      <w:r w:rsidR="00EB5478">
        <w:rPr>
          <w:rFonts w:ascii="Times New Roman" w:hAnsi="Times New Roman"/>
          <w:sz w:val="24"/>
          <w:szCs w:val="24"/>
        </w:rPr>
        <w:t xml:space="preserve"> se si fosse formata un’entità amministrativa</w:t>
      </w:r>
      <w:r w:rsidR="00B72630">
        <w:rPr>
          <w:rFonts w:ascii="Times New Roman" w:hAnsi="Times New Roman"/>
          <w:sz w:val="24"/>
          <w:szCs w:val="24"/>
        </w:rPr>
        <w:t xml:space="preserve"> che riunisse sloveni, croati, </w:t>
      </w:r>
      <w:r w:rsidR="00EB5478">
        <w:rPr>
          <w:rFonts w:ascii="Times New Roman" w:hAnsi="Times New Roman"/>
          <w:sz w:val="24"/>
          <w:szCs w:val="24"/>
        </w:rPr>
        <w:t>serbi della Slavonia e del</w:t>
      </w:r>
      <w:r w:rsidR="002302B4">
        <w:rPr>
          <w:rFonts w:ascii="Times New Roman" w:hAnsi="Times New Roman"/>
          <w:sz w:val="24"/>
          <w:szCs w:val="24"/>
        </w:rPr>
        <w:t>l’Ungheria meridionale</w:t>
      </w:r>
      <w:r w:rsidR="00C947BB" w:rsidRPr="00EB5478">
        <w:rPr>
          <w:rFonts w:ascii="Times New Roman" w:hAnsi="Times New Roman"/>
          <w:sz w:val="24"/>
          <w:szCs w:val="24"/>
        </w:rPr>
        <w:t>.</w:t>
      </w:r>
      <w:r w:rsidR="00C947BB">
        <w:rPr>
          <w:rFonts w:ascii="Times New Roman" w:hAnsi="Times New Roman"/>
          <w:sz w:val="24"/>
          <w:szCs w:val="24"/>
        </w:rPr>
        <w:t xml:space="preserve"> Pur tenendo conto delle ragioni dei tedeschi dei Sudeti in Boemia, l’Austria era pronta ad accettare anche per motivi economici la nuova importanza dei cechi, i quali dalla rivoluzione del 1848 avevano tratto l’idea che gli Asburgo fo</w:t>
      </w:r>
      <w:r w:rsidR="0091279B">
        <w:rPr>
          <w:rFonts w:ascii="Times New Roman" w:hAnsi="Times New Roman"/>
          <w:sz w:val="24"/>
          <w:szCs w:val="24"/>
        </w:rPr>
        <w:t xml:space="preserve">ssero il loro naturale baluardo </w:t>
      </w:r>
      <w:r w:rsidR="00C947BB">
        <w:rPr>
          <w:rFonts w:ascii="Times New Roman" w:hAnsi="Times New Roman"/>
          <w:sz w:val="24"/>
          <w:szCs w:val="24"/>
        </w:rPr>
        <w:t>contro il nazionalismo tedesco. Un</w:t>
      </w:r>
      <w:r w:rsidR="00C947BB" w:rsidRPr="00D33DA0">
        <w:rPr>
          <w:rFonts w:ascii="Times New Roman" w:hAnsi="Times New Roman"/>
          <w:sz w:val="24"/>
          <w:szCs w:val="24"/>
        </w:rPr>
        <w:t xml:space="preserve">’attenta lettura delle fonti </w:t>
      </w:r>
      <w:r w:rsidR="00C947BB">
        <w:rPr>
          <w:rFonts w:ascii="Times New Roman" w:hAnsi="Times New Roman"/>
          <w:sz w:val="24"/>
          <w:szCs w:val="24"/>
        </w:rPr>
        <w:t xml:space="preserve">e della letteratura storica </w:t>
      </w:r>
      <w:r w:rsidR="00C947BB" w:rsidRPr="00D33DA0">
        <w:rPr>
          <w:rFonts w:ascii="Times New Roman" w:hAnsi="Times New Roman"/>
          <w:sz w:val="24"/>
          <w:szCs w:val="24"/>
        </w:rPr>
        <w:t>sull’argomento</w:t>
      </w:r>
      <w:r w:rsidR="0091279B">
        <w:rPr>
          <w:rFonts w:ascii="Times New Roman" w:hAnsi="Times New Roman"/>
          <w:sz w:val="24"/>
          <w:szCs w:val="24"/>
        </w:rPr>
        <w:t xml:space="preserve"> dimostra che l</w:t>
      </w:r>
      <w:r w:rsidR="00C947BB" w:rsidRPr="00D33DA0">
        <w:rPr>
          <w:rFonts w:ascii="Times New Roman" w:hAnsi="Times New Roman"/>
          <w:sz w:val="24"/>
          <w:szCs w:val="24"/>
        </w:rPr>
        <w:t>a tendenza maggioritaria in Boemia perfino nel 1918, alla vigilia della dissoluzione</w:t>
      </w:r>
      <w:r w:rsidR="0091279B">
        <w:rPr>
          <w:rFonts w:ascii="Times New Roman" w:hAnsi="Times New Roman"/>
          <w:sz w:val="24"/>
          <w:szCs w:val="24"/>
        </w:rPr>
        <w:t xml:space="preserve"> dell’impero austro-ungarico, era favorevole ad implementare l’autonomia dei cechi nella cornice istituzi</w:t>
      </w:r>
      <w:r w:rsidR="0057324F">
        <w:rPr>
          <w:rFonts w:ascii="Times New Roman" w:hAnsi="Times New Roman"/>
          <w:sz w:val="24"/>
          <w:szCs w:val="24"/>
        </w:rPr>
        <w:t>onale della Monarchia asburgica</w:t>
      </w:r>
      <w:r w:rsidR="00C947BB">
        <w:rPr>
          <w:rStyle w:val="Rimandonotaapidipagina"/>
          <w:rFonts w:ascii="Times New Roman" w:hAnsi="Times New Roman"/>
          <w:sz w:val="24"/>
          <w:szCs w:val="24"/>
        </w:rPr>
        <w:footnoteReference w:id="44"/>
      </w:r>
      <w:r w:rsidR="006D6265">
        <w:rPr>
          <w:rFonts w:ascii="Times New Roman" w:hAnsi="Times New Roman"/>
          <w:sz w:val="24"/>
          <w:szCs w:val="24"/>
        </w:rPr>
        <w:t>.</w:t>
      </w:r>
    </w:p>
    <w:p w14:paraId="2B0CAD37" w14:textId="4EEDA715" w:rsidR="00CB4474" w:rsidRDefault="00131252" w:rsidP="00CB4474">
      <w:pPr>
        <w:pStyle w:val="Testonotaapidipagina"/>
        <w:spacing w:before="100" w:beforeAutospacing="1" w:after="100" w:afterAutospacing="1" w:line="360" w:lineRule="auto"/>
        <w:ind w:right="567"/>
        <w:jc w:val="both"/>
        <w:rPr>
          <w:rFonts w:ascii="Times New Roman" w:hAnsi="Times New Roman"/>
          <w:i/>
          <w:sz w:val="24"/>
          <w:szCs w:val="24"/>
        </w:rPr>
      </w:pPr>
      <w:r>
        <w:rPr>
          <w:rFonts w:ascii="Times New Roman" w:hAnsi="Times New Roman"/>
          <w:i/>
          <w:sz w:val="24"/>
          <w:szCs w:val="24"/>
        </w:rPr>
        <w:t>Una scelta obbligata?</w:t>
      </w:r>
      <w:r w:rsidR="00C947BB" w:rsidRPr="00E00A8F">
        <w:rPr>
          <w:rFonts w:ascii="Times New Roman" w:hAnsi="Times New Roman"/>
          <w:i/>
          <w:sz w:val="24"/>
          <w:szCs w:val="24"/>
        </w:rPr>
        <w:t xml:space="preserve"> l’</w:t>
      </w:r>
      <w:r w:rsidR="00C947BB" w:rsidRPr="00B55EB4">
        <w:rPr>
          <w:rFonts w:ascii="Times New Roman" w:hAnsi="Times New Roman"/>
          <w:i/>
          <w:sz w:val="24"/>
          <w:szCs w:val="24"/>
        </w:rPr>
        <w:t>Ausgleich/kiegyezés</w:t>
      </w:r>
      <w:r w:rsidR="00E00A8F" w:rsidRPr="00B55EB4">
        <w:rPr>
          <w:rFonts w:ascii="Times New Roman" w:hAnsi="Times New Roman"/>
          <w:i/>
          <w:sz w:val="24"/>
          <w:szCs w:val="24"/>
        </w:rPr>
        <w:t xml:space="preserve"> (1867)</w:t>
      </w:r>
      <w:bookmarkStart w:id="65" w:name="segnalibro"/>
      <w:bookmarkEnd w:id="65"/>
    </w:p>
    <w:p w14:paraId="6EB15B8E" w14:textId="1C5BC8B3" w:rsidR="00DA3A48" w:rsidRDefault="00C947BB" w:rsidP="00585560">
      <w:pPr>
        <w:pStyle w:val="Testonotaapidipagina"/>
        <w:spacing w:before="100" w:beforeAutospacing="1" w:after="100" w:afterAutospacing="1" w:line="360" w:lineRule="auto"/>
        <w:ind w:right="567"/>
        <w:jc w:val="both"/>
        <w:rPr>
          <w:rFonts w:ascii="Times New Roman" w:hAnsi="Times New Roman"/>
          <w:sz w:val="24"/>
          <w:szCs w:val="24"/>
        </w:rPr>
      </w:pPr>
      <w:r>
        <w:rPr>
          <w:rFonts w:ascii="Times New Roman" w:hAnsi="Times New Roman"/>
          <w:sz w:val="24"/>
          <w:szCs w:val="24"/>
        </w:rPr>
        <w:t xml:space="preserve">Il </w:t>
      </w:r>
      <w:r w:rsidRPr="00515E8F">
        <w:rPr>
          <w:rFonts w:ascii="Times New Roman" w:hAnsi="Times New Roman"/>
          <w:sz w:val="24"/>
          <w:szCs w:val="24"/>
        </w:rPr>
        <w:t xml:space="preserve">compromesso austro-ungarico del 1867 </w:t>
      </w:r>
      <w:r w:rsidR="000F0243">
        <w:rPr>
          <w:rFonts w:ascii="Times New Roman" w:hAnsi="Times New Roman"/>
          <w:sz w:val="24"/>
          <w:szCs w:val="24"/>
        </w:rPr>
        <w:t xml:space="preserve">desta l’interesse </w:t>
      </w:r>
      <w:commentRangeStart w:id="66"/>
      <w:r>
        <w:rPr>
          <w:rFonts w:ascii="Times New Roman" w:hAnsi="Times New Roman"/>
          <w:sz w:val="24"/>
          <w:szCs w:val="24"/>
        </w:rPr>
        <w:t>storico</w:t>
      </w:r>
      <w:commentRangeEnd w:id="66"/>
      <w:r w:rsidR="000F0243">
        <w:rPr>
          <w:rStyle w:val="Rimandocommento"/>
        </w:rPr>
        <w:commentReference w:id="66"/>
      </w:r>
      <w:r w:rsidRPr="00515E8F">
        <w:rPr>
          <w:rFonts w:ascii="Times New Roman" w:hAnsi="Times New Roman"/>
          <w:sz w:val="24"/>
          <w:szCs w:val="24"/>
        </w:rPr>
        <w:t xml:space="preserve"> a causa delle sue conseguenze</w:t>
      </w:r>
      <w:r w:rsidR="0024092A">
        <w:rPr>
          <w:rFonts w:ascii="Times New Roman" w:hAnsi="Times New Roman"/>
          <w:sz w:val="24"/>
          <w:szCs w:val="24"/>
        </w:rPr>
        <w:t xml:space="preserve"> e della possibilità</w:t>
      </w:r>
      <w:r w:rsidRPr="00515E8F">
        <w:rPr>
          <w:rFonts w:ascii="Times New Roman" w:hAnsi="Times New Roman"/>
          <w:sz w:val="24"/>
          <w:szCs w:val="24"/>
        </w:rPr>
        <w:t xml:space="preserve"> che vi potesse essere un’a</w:t>
      </w:r>
      <w:r w:rsidR="003D098D">
        <w:rPr>
          <w:rFonts w:ascii="Times New Roman" w:hAnsi="Times New Roman"/>
          <w:sz w:val="24"/>
          <w:szCs w:val="24"/>
        </w:rPr>
        <w:t>ltra soluzione per offrire all’I</w:t>
      </w:r>
      <w:r w:rsidRPr="00515E8F">
        <w:rPr>
          <w:rFonts w:ascii="Times New Roman" w:hAnsi="Times New Roman"/>
          <w:sz w:val="24"/>
          <w:szCs w:val="24"/>
        </w:rPr>
        <w:t>mpero d’Austria un futuro diverso nel segno della</w:t>
      </w:r>
      <w:r>
        <w:rPr>
          <w:rFonts w:ascii="Times New Roman" w:hAnsi="Times New Roman"/>
          <w:sz w:val="24"/>
          <w:szCs w:val="24"/>
        </w:rPr>
        <w:t xml:space="preserve"> modernizzazione e della</w:t>
      </w:r>
      <w:r w:rsidRPr="00515E8F">
        <w:rPr>
          <w:rFonts w:ascii="Times New Roman" w:hAnsi="Times New Roman"/>
          <w:sz w:val="24"/>
          <w:szCs w:val="24"/>
        </w:rPr>
        <w:t xml:space="preserve"> trasformazione politico-istit</w:t>
      </w:r>
      <w:r>
        <w:rPr>
          <w:rFonts w:ascii="Times New Roman" w:hAnsi="Times New Roman"/>
          <w:sz w:val="24"/>
          <w:szCs w:val="24"/>
        </w:rPr>
        <w:t>uzionale</w:t>
      </w:r>
      <w:commentRangeStart w:id="67"/>
      <w:commentRangeStart w:id="68"/>
      <w:r>
        <w:rPr>
          <w:rStyle w:val="Rimandonotaapidipagina"/>
          <w:rFonts w:ascii="Times New Roman" w:hAnsi="Times New Roman"/>
          <w:sz w:val="24"/>
          <w:szCs w:val="24"/>
        </w:rPr>
        <w:footnoteReference w:id="45"/>
      </w:r>
      <w:commentRangeEnd w:id="67"/>
      <w:r w:rsidR="00342F58">
        <w:rPr>
          <w:rStyle w:val="Rimandocommento"/>
        </w:rPr>
        <w:commentReference w:id="67"/>
      </w:r>
      <w:commentRangeEnd w:id="68"/>
      <w:r w:rsidR="00197D1B">
        <w:rPr>
          <w:rStyle w:val="Rimandocommento"/>
        </w:rPr>
        <w:commentReference w:id="68"/>
      </w:r>
      <w:r w:rsidRPr="00515E8F">
        <w:rPr>
          <w:rFonts w:ascii="Times New Roman" w:hAnsi="Times New Roman"/>
          <w:sz w:val="24"/>
          <w:szCs w:val="24"/>
        </w:rPr>
        <w:t>. La storiografia sulla monarchia degli Asburgo considera correttamente l’</w:t>
      </w:r>
      <w:r w:rsidRPr="00515E8F">
        <w:rPr>
          <w:rFonts w:ascii="Times New Roman" w:hAnsi="Times New Roman"/>
          <w:i/>
          <w:sz w:val="24"/>
          <w:szCs w:val="24"/>
        </w:rPr>
        <w:t>Ausgleich</w:t>
      </w:r>
      <w:r w:rsidRPr="00515E8F">
        <w:rPr>
          <w:rFonts w:ascii="Times New Roman" w:hAnsi="Times New Roman"/>
          <w:sz w:val="24"/>
          <w:szCs w:val="24"/>
        </w:rPr>
        <w:t xml:space="preserve"> il punto di arrivo degli anni di esperimenti costituzionali seguiti alla g</w:t>
      </w:r>
      <w:r w:rsidR="00452823">
        <w:rPr>
          <w:rFonts w:ascii="Times New Roman" w:hAnsi="Times New Roman"/>
          <w:sz w:val="24"/>
          <w:szCs w:val="24"/>
        </w:rPr>
        <w:t>uerra italiana del 1859</w:t>
      </w:r>
      <w:r w:rsidRPr="00515E8F">
        <w:rPr>
          <w:rFonts w:ascii="Times New Roman" w:hAnsi="Times New Roman"/>
          <w:sz w:val="24"/>
          <w:szCs w:val="24"/>
        </w:rPr>
        <w:t>. La nuova</w:t>
      </w:r>
      <w:r w:rsidR="003D098D">
        <w:rPr>
          <w:rFonts w:ascii="Times New Roman" w:hAnsi="Times New Roman"/>
          <w:sz w:val="24"/>
          <w:szCs w:val="24"/>
        </w:rPr>
        <w:t>,</w:t>
      </w:r>
      <w:r w:rsidRPr="00515E8F">
        <w:rPr>
          <w:rFonts w:ascii="Times New Roman" w:hAnsi="Times New Roman"/>
          <w:sz w:val="24"/>
          <w:szCs w:val="24"/>
        </w:rPr>
        <w:t xml:space="preserve"> impegnativa prova bellica del 1866</w:t>
      </w:r>
      <w:r>
        <w:rPr>
          <w:rFonts w:ascii="Times New Roman" w:hAnsi="Times New Roman"/>
          <w:sz w:val="24"/>
          <w:szCs w:val="24"/>
        </w:rPr>
        <w:t xml:space="preserve"> contro la Prussia e il regno d’Italia</w:t>
      </w:r>
      <w:r w:rsidRPr="00515E8F">
        <w:rPr>
          <w:rFonts w:ascii="Times New Roman" w:hAnsi="Times New Roman"/>
          <w:sz w:val="24"/>
          <w:szCs w:val="24"/>
        </w:rPr>
        <w:t xml:space="preserve"> avrebbe messo fine a</w:t>
      </w:r>
      <w:r w:rsidR="003D098D">
        <w:rPr>
          <w:rFonts w:ascii="Times New Roman" w:hAnsi="Times New Roman"/>
          <w:sz w:val="24"/>
          <w:szCs w:val="24"/>
        </w:rPr>
        <w:t>d</w:t>
      </w:r>
      <w:r w:rsidRPr="00515E8F">
        <w:rPr>
          <w:rFonts w:ascii="Times New Roman" w:hAnsi="Times New Roman"/>
          <w:sz w:val="24"/>
          <w:szCs w:val="24"/>
        </w:rPr>
        <w:t xml:space="preserve"> </w:t>
      </w:r>
      <w:r>
        <w:rPr>
          <w:rFonts w:ascii="Times New Roman" w:hAnsi="Times New Roman"/>
          <w:sz w:val="24"/>
          <w:szCs w:val="24"/>
        </w:rPr>
        <w:t>un fecondo dibattito e persuaso</w:t>
      </w:r>
      <w:r w:rsidR="003D098D">
        <w:rPr>
          <w:rFonts w:ascii="Times New Roman" w:hAnsi="Times New Roman"/>
          <w:sz w:val="24"/>
          <w:szCs w:val="24"/>
        </w:rPr>
        <w:t xml:space="preserve"> l’I</w:t>
      </w:r>
      <w:r w:rsidRPr="00515E8F">
        <w:rPr>
          <w:rFonts w:ascii="Times New Roman" w:hAnsi="Times New Roman"/>
          <w:sz w:val="24"/>
          <w:szCs w:val="24"/>
        </w:rPr>
        <w:t>mperatore d’Austria a venire a patti con gli ungheresi allo sc</w:t>
      </w:r>
      <w:r w:rsidR="003D098D">
        <w:rPr>
          <w:rFonts w:ascii="Times New Roman" w:hAnsi="Times New Roman"/>
          <w:sz w:val="24"/>
          <w:szCs w:val="24"/>
        </w:rPr>
        <w:t>opo di salvare e consolidare l’I</w:t>
      </w:r>
      <w:r w:rsidRPr="00515E8F">
        <w:rPr>
          <w:rFonts w:ascii="Times New Roman" w:hAnsi="Times New Roman"/>
          <w:sz w:val="24"/>
          <w:szCs w:val="24"/>
        </w:rPr>
        <w:t>mper</w:t>
      </w:r>
      <w:r>
        <w:rPr>
          <w:rFonts w:ascii="Times New Roman" w:hAnsi="Times New Roman"/>
          <w:sz w:val="24"/>
          <w:szCs w:val="24"/>
        </w:rPr>
        <w:t xml:space="preserve">o, dopo </w:t>
      </w:r>
      <w:commentRangeStart w:id="69"/>
      <w:commentRangeStart w:id="70"/>
      <w:r>
        <w:rPr>
          <w:rFonts w:ascii="Times New Roman" w:hAnsi="Times New Roman"/>
          <w:sz w:val="24"/>
          <w:szCs w:val="24"/>
        </w:rPr>
        <w:t>l</w:t>
      </w:r>
      <w:r w:rsidR="00716F8B">
        <w:rPr>
          <w:rFonts w:ascii="Times New Roman" w:hAnsi="Times New Roman"/>
          <w:sz w:val="24"/>
          <w:szCs w:val="24"/>
        </w:rPr>
        <w:t>a definitiva perdita</w:t>
      </w:r>
      <w:r w:rsidR="00452823">
        <w:rPr>
          <w:rFonts w:ascii="Times New Roman" w:hAnsi="Times New Roman"/>
          <w:sz w:val="24"/>
          <w:szCs w:val="24"/>
        </w:rPr>
        <w:t xml:space="preserve"> della posizione dominante in Germania </w:t>
      </w:r>
      <w:r>
        <w:rPr>
          <w:rFonts w:ascii="Times New Roman" w:hAnsi="Times New Roman"/>
          <w:sz w:val="24"/>
          <w:szCs w:val="24"/>
        </w:rPr>
        <w:t>a favore della Prussia</w:t>
      </w:r>
      <w:commentRangeEnd w:id="69"/>
      <w:r w:rsidR="003D098D">
        <w:rPr>
          <w:rStyle w:val="Rimandocommento"/>
        </w:rPr>
        <w:commentReference w:id="69"/>
      </w:r>
      <w:commentRangeEnd w:id="70"/>
      <w:r w:rsidR="00197D1B">
        <w:rPr>
          <w:rStyle w:val="Rimandocommento"/>
        </w:rPr>
        <w:commentReference w:id="70"/>
      </w:r>
      <w:r>
        <w:rPr>
          <w:rFonts w:ascii="Times New Roman" w:hAnsi="Times New Roman"/>
          <w:sz w:val="24"/>
          <w:szCs w:val="24"/>
        </w:rPr>
        <w:t xml:space="preserve"> e</w:t>
      </w:r>
      <w:r w:rsidRPr="00515E8F">
        <w:rPr>
          <w:rFonts w:ascii="Times New Roman" w:hAnsi="Times New Roman"/>
          <w:sz w:val="24"/>
          <w:szCs w:val="24"/>
        </w:rPr>
        <w:t xml:space="preserve"> </w:t>
      </w:r>
      <w:commentRangeStart w:id="71"/>
      <w:r w:rsidRPr="00515E8F">
        <w:rPr>
          <w:rFonts w:ascii="Times New Roman" w:hAnsi="Times New Roman"/>
          <w:sz w:val="24"/>
          <w:szCs w:val="24"/>
        </w:rPr>
        <w:t>di quel che restava del regno Lombardo-Vene</w:t>
      </w:r>
      <w:r>
        <w:rPr>
          <w:rFonts w:ascii="Times New Roman" w:hAnsi="Times New Roman"/>
          <w:sz w:val="24"/>
          <w:szCs w:val="24"/>
        </w:rPr>
        <w:t>to a vantaggio dell’</w:t>
      </w:r>
      <w:r w:rsidR="003D098D">
        <w:rPr>
          <w:rFonts w:ascii="Times New Roman" w:hAnsi="Times New Roman"/>
          <w:sz w:val="24"/>
          <w:szCs w:val="24"/>
        </w:rPr>
        <w:t>Italia</w:t>
      </w:r>
      <w:commentRangeEnd w:id="71"/>
      <w:r w:rsidR="00342F58">
        <w:rPr>
          <w:rStyle w:val="Rimandocommento"/>
        </w:rPr>
        <w:commentReference w:id="71"/>
      </w:r>
      <w:r w:rsidRPr="00515E8F">
        <w:rPr>
          <w:rFonts w:ascii="Times New Roman" w:hAnsi="Times New Roman"/>
          <w:sz w:val="24"/>
          <w:szCs w:val="24"/>
        </w:rPr>
        <w:t>. La formazione della Confederazione germanica del Nord a</w:t>
      </w:r>
      <w:r w:rsidR="008C5D02">
        <w:rPr>
          <w:rFonts w:ascii="Times New Roman" w:hAnsi="Times New Roman"/>
          <w:sz w:val="24"/>
          <w:szCs w:val="24"/>
        </w:rPr>
        <w:t xml:space="preserve"> guida prussiana </w:t>
      </w:r>
      <w:r w:rsidRPr="00515E8F">
        <w:rPr>
          <w:rFonts w:ascii="Times New Roman" w:hAnsi="Times New Roman"/>
          <w:sz w:val="24"/>
          <w:szCs w:val="24"/>
        </w:rPr>
        <w:t xml:space="preserve">faceva dei tedeschi dell’Austria una nazionalità fra le tante, </w:t>
      </w:r>
      <w:r w:rsidRPr="00515E8F">
        <w:rPr>
          <w:rFonts w:ascii="Times New Roman" w:hAnsi="Times New Roman"/>
          <w:sz w:val="24"/>
          <w:szCs w:val="24"/>
        </w:rPr>
        <w:lastRenderedPageBreak/>
        <w:t>demograficamente non dominante e diffusa a macchia di leopa</w:t>
      </w:r>
      <w:r w:rsidR="00342F58">
        <w:rPr>
          <w:rFonts w:ascii="Times New Roman" w:hAnsi="Times New Roman"/>
          <w:sz w:val="24"/>
          <w:szCs w:val="24"/>
        </w:rPr>
        <w:t>rdo nei diversi territori dell’I</w:t>
      </w:r>
      <w:r w:rsidRPr="00515E8F">
        <w:rPr>
          <w:rFonts w:ascii="Times New Roman" w:hAnsi="Times New Roman"/>
          <w:sz w:val="24"/>
          <w:szCs w:val="24"/>
        </w:rPr>
        <w:t>mpero. Prima ancora che si stabilissero g</w:t>
      </w:r>
      <w:r>
        <w:rPr>
          <w:rFonts w:ascii="Times New Roman" w:hAnsi="Times New Roman"/>
          <w:sz w:val="24"/>
          <w:szCs w:val="24"/>
        </w:rPr>
        <w:t xml:space="preserve">li accordi con gli ungheresi, i </w:t>
      </w:r>
      <w:r w:rsidRPr="00515E8F">
        <w:rPr>
          <w:rFonts w:ascii="Times New Roman" w:hAnsi="Times New Roman"/>
          <w:sz w:val="24"/>
          <w:szCs w:val="24"/>
        </w:rPr>
        <w:t>tedeschi dell’Austria avevano veduto sfumare il sogno di rispondere alla vistosa perdita di prestigio e influenza degli Asburgo entrando a far parte di una Grande Germania unificata, la soluzione grande-tedesca vagheg</w:t>
      </w:r>
      <w:r>
        <w:rPr>
          <w:rFonts w:ascii="Times New Roman" w:hAnsi="Times New Roman"/>
          <w:sz w:val="24"/>
          <w:szCs w:val="24"/>
        </w:rPr>
        <w:t>giata dai patrioti del 1848</w:t>
      </w:r>
      <w:commentRangeStart w:id="72"/>
      <w:commentRangeStart w:id="73"/>
      <w:r>
        <w:rPr>
          <w:rStyle w:val="Rimandonotaapidipagina"/>
          <w:rFonts w:ascii="Times New Roman" w:hAnsi="Times New Roman"/>
          <w:sz w:val="24"/>
          <w:szCs w:val="24"/>
        </w:rPr>
        <w:footnoteReference w:id="46"/>
      </w:r>
      <w:commentRangeEnd w:id="72"/>
      <w:r w:rsidR="00CE54E9">
        <w:rPr>
          <w:rStyle w:val="Rimandocommento"/>
        </w:rPr>
        <w:commentReference w:id="72"/>
      </w:r>
      <w:commentRangeEnd w:id="73"/>
      <w:r w:rsidR="002B2DE9">
        <w:rPr>
          <w:rStyle w:val="Rimandocommento"/>
        </w:rPr>
        <w:commentReference w:id="73"/>
      </w:r>
      <w:r w:rsidR="00342F58">
        <w:rPr>
          <w:rFonts w:ascii="Times New Roman" w:hAnsi="Times New Roman"/>
          <w:sz w:val="24"/>
          <w:szCs w:val="24"/>
        </w:rPr>
        <w:t>.</w:t>
      </w:r>
      <w:r w:rsidR="00585560">
        <w:rPr>
          <w:rFonts w:ascii="Times New Roman" w:hAnsi="Times New Roman"/>
          <w:sz w:val="24"/>
          <w:szCs w:val="24"/>
        </w:rPr>
        <w:t xml:space="preserve"> </w:t>
      </w:r>
      <w:r w:rsidRPr="00515E8F">
        <w:rPr>
          <w:rFonts w:ascii="Times New Roman" w:hAnsi="Times New Roman"/>
          <w:sz w:val="24"/>
          <w:szCs w:val="24"/>
        </w:rPr>
        <w:t>Altrettanto frustrati furono gli italiani</w:t>
      </w:r>
      <w:r w:rsidR="00585560">
        <w:rPr>
          <w:rFonts w:ascii="Times New Roman" w:hAnsi="Times New Roman"/>
          <w:sz w:val="24"/>
          <w:szCs w:val="24"/>
        </w:rPr>
        <w:t xml:space="preserve"> rimasti nell’impero in Trentino e n</w:t>
      </w:r>
      <w:r w:rsidRPr="00515E8F">
        <w:rPr>
          <w:rFonts w:ascii="Times New Roman" w:hAnsi="Times New Roman"/>
          <w:sz w:val="24"/>
          <w:szCs w:val="24"/>
        </w:rPr>
        <w:t>ella Venezia Giulia</w:t>
      </w:r>
      <w:r w:rsidR="00585560">
        <w:rPr>
          <w:rFonts w:ascii="Times New Roman" w:hAnsi="Times New Roman"/>
          <w:sz w:val="24"/>
          <w:szCs w:val="24"/>
        </w:rPr>
        <w:t>:</w:t>
      </w:r>
      <w:r w:rsidRPr="00515E8F">
        <w:rPr>
          <w:rFonts w:ascii="Times New Roman" w:hAnsi="Times New Roman"/>
          <w:sz w:val="24"/>
          <w:szCs w:val="24"/>
        </w:rPr>
        <w:t xml:space="preserve"> </w:t>
      </w:r>
      <w:commentRangeStart w:id="74"/>
      <w:commentRangeStart w:id="75"/>
      <w:r w:rsidRPr="00515E8F">
        <w:rPr>
          <w:rFonts w:ascii="Times New Roman" w:hAnsi="Times New Roman"/>
          <w:sz w:val="24"/>
          <w:szCs w:val="24"/>
        </w:rPr>
        <w:t>pangermanesimo</w:t>
      </w:r>
      <w:commentRangeEnd w:id="74"/>
      <w:r w:rsidR="008828AD">
        <w:rPr>
          <w:rStyle w:val="Rimandocommento"/>
        </w:rPr>
        <w:commentReference w:id="74"/>
      </w:r>
      <w:commentRangeEnd w:id="75"/>
      <w:r w:rsidR="002B2DE9">
        <w:rPr>
          <w:rStyle w:val="Rimandocommento"/>
        </w:rPr>
        <w:commentReference w:id="75"/>
      </w:r>
      <w:r w:rsidRPr="00515E8F">
        <w:rPr>
          <w:rFonts w:ascii="Times New Roman" w:hAnsi="Times New Roman"/>
          <w:sz w:val="24"/>
          <w:szCs w:val="24"/>
        </w:rPr>
        <w:t xml:space="preserve"> e irredentismo italiano furono da allora movimenti politici minoritari</w:t>
      </w:r>
      <w:r w:rsidR="00DA3A48">
        <w:rPr>
          <w:rFonts w:ascii="Times New Roman" w:hAnsi="Times New Roman"/>
          <w:sz w:val="24"/>
          <w:szCs w:val="24"/>
        </w:rPr>
        <w:t>,</w:t>
      </w:r>
      <w:r w:rsidRPr="00515E8F">
        <w:rPr>
          <w:rFonts w:ascii="Times New Roman" w:hAnsi="Times New Roman"/>
          <w:sz w:val="24"/>
          <w:szCs w:val="24"/>
        </w:rPr>
        <w:t xml:space="preserve"> ma egualmente pericolosi per il futuro</w:t>
      </w:r>
      <w:r w:rsidR="00DA3A48">
        <w:rPr>
          <w:rFonts w:ascii="Times New Roman" w:hAnsi="Times New Roman"/>
          <w:sz w:val="24"/>
          <w:szCs w:val="24"/>
        </w:rPr>
        <w:t xml:space="preserve"> e</w:t>
      </w:r>
      <w:r w:rsidR="00BE5427">
        <w:rPr>
          <w:rFonts w:ascii="Times New Roman" w:hAnsi="Times New Roman"/>
          <w:sz w:val="24"/>
          <w:szCs w:val="24"/>
        </w:rPr>
        <w:t xml:space="preserve"> gli equilibri d</w:t>
      </w:r>
      <w:r w:rsidR="008A4B79">
        <w:rPr>
          <w:rFonts w:ascii="Times New Roman" w:hAnsi="Times New Roman"/>
          <w:sz w:val="24"/>
          <w:szCs w:val="24"/>
        </w:rPr>
        <w:t>ella M</w:t>
      </w:r>
      <w:r w:rsidRPr="00515E8F">
        <w:rPr>
          <w:rFonts w:ascii="Times New Roman" w:hAnsi="Times New Roman"/>
          <w:sz w:val="24"/>
          <w:szCs w:val="24"/>
        </w:rPr>
        <w:t>onarchia</w:t>
      </w:r>
      <w:r w:rsidR="008A4B79">
        <w:rPr>
          <w:rStyle w:val="Rimandonotaapidipagina"/>
          <w:rFonts w:ascii="Times New Roman" w:hAnsi="Times New Roman"/>
          <w:sz w:val="24"/>
          <w:szCs w:val="24"/>
        </w:rPr>
        <w:footnoteReference w:id="47"/>
      </w:r>
      <w:r w:rsidRPr="00515E8F">
        <w:rPr>
          <w:rFonts w:ascii="Times New Roman" w:hAnsi="Times New Roman"/>
          <w:sz w:val="24"/>
          <w:szCs w:val="24"/>
        </w:rPr>
        <w:t xml:space="preserve">. </w:t>
      </w:r>
    </w:p>
    <w:p w14:paraId="4A5F034D" w14:textId="7E53C865" w:rsidR="00FF0665" w:rsidRDefault="00C947BB" w:rsidP="008B01E6">
      <w:pPr>
        <w:pStyle w:val="Testonotaapidipagina"/>
        <w:spacing w:before="100" w:beforeAutospacing="1" w:after="100" w:afterAutospacing="1" w:line="360" w:lineRule="auto"/>
        <w:ind w:right="567" w:firstLine="567"/>
        <w:jc w:val="both"/>
        <w:rPr>
          <w:rFonts w:ascii="Times New Roman" w:hAnsi="Times New Roman"/>
          <w:sz w:val="24"/>
          <w:szCs w:val="24"/>
        </w:rPr>
      </w:pPr>
      <w:r w:rsidRPr="00515E8F">
        <w:rPr>
          <w:rFonts w:ascii="Times New Roman" w:hAnsi="Times New Roman"/>
          <w:sz w:val="24"/>
          <w:szCs w:val="24"/>
        </w:rPr>
        <w:t>Quando la parte austriaca decise</w:t>
      </w:r>
      <w:r w:rsidR="00885BE5">
        <w:rPr>
          <w:rFonts w:ascii="Times New Roman" w:hAnsi="Times New Roman"/>
          <w:sz w:val="24"/>
          <w:szCs w:val="24"/>
        </w:rPr>
        <w:t xml:space="preserve"> di accordarsi con la parte u</w:t>
      </w:r>
      <w:r w:rsidRPr="00515E8F">
        <w:rPr>
          <w:rFonts w:ascii="Times New Roman" w:hAnsi="Times New Roman"/>
          <w:sz w:val="24"/>
          <w:szCs w:val="24"/>
        </w:rPr>
        <w:t xml:space="preserve">ngherese, </w:t>
      </w:r>
      <w:commentRangeStart w:id="76"/>
      <w:commentRangeStart w:id="77"/>
      <w:r w:rsidRPr="00515E8F">
        <w:rPr>
          <w:rFonts w:ascii="Times New Roman" w:hAnsi="Times New Roman"/>
          <w:sz w:val="24"/>
          <w:szCs w:val="24"/>
        </w:rPr>
        <w:t>si assisero al tavolo</w:t>
      </w:r>
      <w:commentRangeEnd w:id="76"/>
      <w:r w:rsidR="00DA3A48">
        <w:rPr>
          <w:rStyle w:val="Rimandocommento"/>
        </w:rPr>
        <w:commentReference w:id="76"/>
      </w:r>
      <w:commentRangeEnd w:id="77"/>
      <w:r w:rsidR="002B2DE9">
        <w:rPr>
          <w:rStyle w:val="Rimandocommento"/>
        </w:rPr>
        <w:commentReference w:id="77"/>
      </w:r>
      <w:r w:rsidRPr="00515E8F">
        <w:rPr>
          <w:rFonts w:ascii="Times New Roman" w:hAnsi="Times New Roman"/>
          <w:sz w:val="24"/>
          <w:szCs w:val="24"/>
        </w:rPr>
        <w:t xml:space="preserve"> del nego</w:t>
      </w:r>
      <w:r w:rsidR="00C479F0">
        <w:rPr>
          <w:rFonts w:ascii="Times New Roman" w:hAnsi="Times New Roman"/>
          <w:sz w:val="24"/>
          <w:szCs w:val="24"/>
        </w:rPr>
        <w:t>ziato due posizioni di minoranza,</w:t>
      </w:r>
      <w:r w:rsidR="00885BE5">
        <w:rPr>
          <w:rFonts w:ascii="Times New Roman" w:hAnsi="Times New Roman"/>
          <w:sz w:val="24"/>
          <w:szCs w:val="24"/>
        </w:rPr>
        <w:t xml:space="preserve"> che riconoscevano n</w:t>
      </w:r>
      <w:r w:rsidRPr="00515E8F">
        <w:rPr>
          <w:rFonts w:ascii="Times New Roman" w:hAnsi="Times New Roman"/>
          <w:sz w:val="24"/>
          <w:szCs w:val="24"/>
        </w:rPr>
        <w:t>ella conferma dell’unione</w:t>
      </w:r>
      <w:r>
        <w:rPr>
          <w:rFonts w:ascii="Times New Roman" w:hAnsi="Times New Roman"/>
          <w:sz w:val="24"/>
          <w:szCs w:val="24"/>
        </w:rPr>
        <w:t xml:space="preserve"> dinastica</w:t>
      </w:r>
      <w:r w:rsidRPr="00515E8F">
        <w:rPr>
          <w:rFonts w:ascii="Times New Roman" w:hAnsi="Times New Roman"/>
          <w:sz w:val="24"/>
          <w:szCs w:val="24"/>
        </w:rPr>
        <w:t xml:space="preserve"> e nel compromesso il solo modo di garantirsi la sopravviv</w:t>
      </w:r>
      <w:r w:rsidR="00585560">
        <w:rPr>
          <w:rFonts w:ascii="Times New Roman" w:hAnsi="Times New Roman"/>
          <w:sz w:val="24"/>
          <w:szCs w:val="24"/>
        </w:rPr>
        <w:t>enza politica in Europa</w:t>
      </w:r>
      <w:r w:rsidRPr="00515E8F">
        <w:rPr>
          <w:rFonts w:ascii="Times New Roman" w:hAnsi="Times New Roman"/>
          <w:sz w:val="24"/>
          <w:szCs w:val="24"/>
        </w:rPr>
        <w:t xml:space="preserve">. </w:t>
      </w:r>
      <w:r w:rsidR="00986389">
        <w:rPr>
          <w:rFonts w:ascii="Times New Roman" w:hAnsi="Times New Roman"/>
          <w:sz w:val="24"/>
          <w:szCs w:val="24"/>
        </w:rPr>
        <w:t>In Ungheria non era stata dimenticata</w:t>
      </w:r>
      <w:r w:rsidRPr="00515E8F">
        <w:rPr>
          <w:rFonts w:ascii="Times New Roman" w:hAnsi="Times New Roman"/>
          <w:sz w:val="24"/>
          <w:szCs w:val="24"/>
        </w:rPr>
        <w:t xml:space="preserve"> la lezione che i più lungimiranti e moderati patrioti avevano </w:t>
      </w:r>
      <w:commentRangeStart w:id="78"/>
      <w:commentRangeStart w:id="79"/>
      <w:r w:rsidRPr="00515E8F">
        <w:rPr>
          <w:rFonts w:ascii="Times New Roman" w:hAnsi="Times New Roman"/>
          <w:sz w:val="24"/>
          <w:szCs w:val="24"/>
        </w:rPr>
        <w:t>a</w:t>
      </w:r>
      <w:r w:rsidR="002A31B8">
        <w:rPr>
          <w:rFonts w:ascii="Times New Roman" w:hAnsi="Times New Roman"/>
          <w:sz w:val="24"/>
          <w:szCs w:val="24"/>
        </w:rPr>
        <w:t>ppreso ne</w:t>
      </w:r>
      <w:r w:rsidRPr="00515E8F">
        <w:rPr>
          <w:rFonts w:ascii="Times New Roman" w:hAnsi="Times New Roman"/>
          <w:sz w:val="24"/>
          <w:szCs w:val="24"/>
        </w:rPr>
        <w:t>l 1848-</w:t>
      </w:r>
      <w:r w:rsidR="00BD101B">
        <w:rPr>
          <w:rFonts w:ascii="Times New Roman" w:hAnsi="Times New Roman"/>
          <w:sz w:val="24"/>
          <w:szCs w:val="24"/>
        </w:rPr>
        <w:t>18</w:t>
      </w:r>
      <w:r w:rsidRPr="00515E8F">
        <w:rPr>
          <w:rFonts w:ascii="Times New Roman" w:hAnsi="Times New Roman"/>
          <w:sz w:val="24"/>
          <w:szCs w:val="24"/>
        </w:rPr>
        <w:t>49</w:t>
      </w:r>
      <w:commentRangeEnd w:id="78"/>
      <w:r w:rsidR="00132499">
        <w:rPr>
          <w:rStyle w:val="Rimandocommento"/>
        </w:rPr>
        <w:commentReference w:id="78"/>
      </w:r>
      <w:commentRangeEnd w:id="79"/>
      <w:r w:rsidR="002B2DE9">
        <w:rPr>
          <w:rStyle w:val="Rimandocommento"/>
        </w:rPr>
        <w:commentReference w:id="79"/>
      </w:r>
      <w:r w:rsidRPr="00515E8F">
        <w:rPr>
          <w:rFonts w:ascii="Times New Roman" w:hAnsi="Times New Roman"/>
          <w:sz w:val="24"/>
          <w:szCs w:val="24"/>
        </w:rPr>
        <w:t>: ovvero che i magiari potevano chiedere e ottenere il rispetto della propria antic</w:t>
      </w:r>
      <w:r>
        <w:rPr>
          <w:rFonts w:ascii="Times New Roman" w:hAnsi="Times New Roman"/>
          <w:sz w:val="24"/>
          <w:szCs w:val="24"/>
        </w:rPr>
        <w:t>a costituzione</w:t>
      </w:r>
      <w:r w:rsidRPr="00515E8F">
        <w:rPr>
          <w:rFonts w:ascii="Times New Roman" w:hAnsi="Times New Roman"/>
          <w:sz w:val="24"/>
          <w:szCs w:val="24"/>
        </w:rPr>
        <w:t>, ma non coronare il sogno dell’indipendenza. Il compromesso avrebbe con</w:t>
      </w:r>
      <w:r w:rsidR="00777AFD">
        <w:rPr>
          <w:rFonts w:ascii="Times New Roman" w:hAnsi="Times New Roman"/>
          <w:sz w:val="24"/>
          <w:szCs w:val="24"/>
        </w:rPr>
        <w:t>sentito di mantenere in vita l’I</w:t>
      </w:r>
      <w:r w:rsidRPr="00515E8F">
        <w:rPr>
          <w:rFonts w:ascii="Times New Roman" w:hAnsi="Times New Roman"/>
          <w:sz w:val="24"/>
          <w:szCs w:val="24"/>
        </w:rPr>
        <w:t>mpero degli Asburgo</w:t>
      </w:r>
      <w:r w:rsidR="00777AFD">
        <w:rPr>
          <w:rFonts w:ascii="Times New Roman" w:hAnsi="Times New Roman"/>
          <w:sz w:val="24"/>
          <w:szCs w:val="24"/>
        </w:rPr>
        <w:t>,</w:t>
      </w:r>
      <w:r w:rsidRPr="00515E8F">
        <w:rPr>
          <w:rFonts w:ascii="Times New Roman" w:hAnsi="Times New Roman"/>
          <w:sz w:val="24"/>
          <w:szCs w:val="24"/>
        </w:rPr>
        <w:t xml:space="preserve"> conferendo agli ungheresi la protezione e l’autorità necessarie per conservare la supremazia politica e culturale nel regno </w:t>
      </w:r>
      <w:r w:rsidR="00595D4F">
        <w:rPr>
          <w:rFonts w:ascii="Times New Roman" w:hAnsi="Times New Roman"/>
          <w:sz w:val="24"/>
          <w:szCs w:val="24"/>
        </w:rPr>
        <w:t>di Santo Stefano</w:t>
      </w:r>
      <w:r w:rsidR="00FF0665">
        <w:rPr>
          <w:rFonts w:ascii="Times New Roman" w:hAnsi="Times New Roman"/>
          <w:sz w:val="24"/>
          <w:szCs w:val="24"/>
        </w:rPr>
        <w:t>.</w:t>
      </w:r>
    </w:p>
    <w:p w14:paraId="77496BFF" w14:textId="7F945A19" w:rsidR="00873FE0" w:rsidRDefault="00C947BB" w:rsidP="006D6265">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 xml:space="preserve">Anche per i più intelligenti </w:t>
      </w:r>
      <w:r w:rsidRPr="00515E8F">
        <w:rPr>
          <w:rFonts w:ascii="Times New Roman" w:hAnsi="Times New Roman"/>
          <w:sz w:val="24"/>
          <w:szCs w:val="24"/>
        </w:rPr>
        <w:t xml:space="preserve">fautori del distacco dagli Asburgo, </w:t>
      </w:r>
      <w:commentRangeStart w:id="80"/>
      <w:commentRangeStart w:id="81"/>
      <w:r w:rsidRPr="00515E8F">
        <w:rPr>
          <w:rFonts w:ascii="Times New Roman" w:hAnsi="Times New Roman"/>
          <w:sz w:val="24"/>
          <w:szCs w:val="24"/>
        </w:rPr>
        <w:t>era evi</w:t>
      </w:r>
      <w:r w:rsidR="00C879F7">
        <w:rPr>
          <w:rFonts w:ascii="Times New Roman" w:hAnsi="Times New Roman"/>
          <w:sz w:val="24"/>
          <w:szCs w:val="24"/>
        </w:rPr>
        <w:t>dente che la sola alternativa al compromesso</w:t>
      </w:r>
      <w:r w:rsidR="002A31B8">
        <w:rPr>
          <w:rFonts w:ascii="Times New Roman" w:hAnsi="Times New Roman"/>
          <w:sz w:val="24"/>
          <w:szCs w:val="24"/>
        </w:rPr>
        <w:t xml:space="preserve"> era quella meditata dal</w:t>
      </w:r>
      <w:r w:rsidRPr="00515E8F">
        <w:rPr>
          <w:rFonts w:ascii="Times New Roman" w:hAnsi="Times New Roman"/>
          <w:sz w:val="24"/>
          <w:szCs w:val="24"/>
        </w:rPr>
        <w:t xml:space="preserve"> </w:t>
      </w:r>
      <w:r w:rsidR="002A31B8">
        <w:rPr>
          <w:rFonts w:ascii="Times New Roman" w:hAnsi="Times New Roman"/>
          <w:sz w:val="24"/>
          <w:szCs w:val="24"/>
        </w:rPr>
        <w:t xml:space="preserve">grande </w:t>
      </w:r>
      <w:r w:rsidRPr="00515E8F">
        <w:rPr>
          <w:rFonts w:ascii="Times New Roman" w:hAnsi="Times New Roman"/>
          <w:sz w:val="24"/>
          <w:szCs w:val="24"/>
        </w:rPr>
        <w:t>protagonista della rivolu</w:t>
      </w:r>
      <w:r>
        <w:rPr>
          <w:rFonts w:ascii="Times New Roman" w:hAnsi="Times New Roman"/>
          <w:sz w:val="24"/>
          <w:szCs w:val="24"/>
        </w:rPr>
        <w:t>zione del 1848</w:t>
      </w:r>
      <w:commentRangeEnd w:id="80"/>
      <w:r w:rsidR="00FF0665">
        <w:rPr>
          <w:rStyle w:val="Rimandocommento"/>
        </w:rPr>
        <w:commentReference w:id="80"/>
      </w:r>
      <w:commentRangeEnd w:id="81"/>
      <w:r w:rsidR="002B2DE9">
        <w:rPr>
          <w:rStyle w:val="Rimandocommento"/>
        </w:rPr>
        <w:commentReference w:id="81"/>
      </w:r>
      <w:r>
        <w:rPr>
          <w:rFonts w:ascii="Times New Roman" w:hAnsi="Times New Roman"/>
          <w:sz w:val="24"/>
          <w:szCs w:val="24"/>
        </w:rPr>
        <w:t>.</w:t>
      </w:r>
      <w:r w:rsidRPr="00515E8F">
        <w:rPr>
          <w:rFonts w:ascii="Times New Roman" w:hAnsi="Times New Roman"/>
          <w:sz w:val="24"/>
          <w:szCs w:val="24"/>
        </w:rPr>
        <w:t xml:space="preserve"> Dal suo esilio torinese</w:t>
      </w:r>
      <w:r>
        <w:rPr>
          <w:rFonts w:ascii="Times New Roman" w:hAnsi="Times New Roman"/>
          <w:sz w:val="24"/>
          <w:szCs w:val="24"/>
        </w:rPr>
        <w:t xml:space="preserve"> </w:t>
      </w:r>
      <w:r w:rsidR="00936DCD">
        <w:rPr>
          <w:rFonts w:ascii="Times New Roman" w:hAnsi="Times New Roman"/>
          <w:sz w:val="24"/>
          <w:szCs w:val="24"/>
        </w:rPr>
        <w:t xml:space="preserve">Lajos </w:t>
      </w:r>
      <w:r>
        <w:rPr>
          <w:rFonts w:ascii="Times New Roman" w:hAnsi="Times New Roman"/>
          <w:sz w:val="24"/>
          <w:szCs w:val="24"/>
        </w:rPr>
        <w:t>Kossuth</w:t>
      </w:r>
      <w:r w:rsidRPr="00515E8F">
        <w:rPr>
          <w:rFonts w:ascii="Times New Roman" w:hAnsi="Times New Roman"/>
          <w:sz w:val="24"/>
          <w:szCs w:val="24"/>
        </w:rPr>
        <w:t xml:space="preserve"> era giun</w:t>
      </w:r>
      <w:r w:rsidR="002A31B8">
        <w:rPr>
          <w:rFonts w:ascii="Times New Roman" w:hAnsi="Times New Roman"/>
          <w:sz w:val="24"/>
          <w:szCs w:val="24"/>
        </w:rPr>
        <w:t>to alla conclusione che</w:t>
      </w:r>
      <w:r w:rsidRPr="00515E8F">
        <w:rPr>
          <w:rFonts w:ascii="Times New Roman" w:hAnsi="Times New Roman"/>
          <w:sz w:val="24"/>
          <w:szCs w:val="24"/>
        </w:rPr>
        <w:t xml:space="preserve"> una </w:t>
      </w:r>
      <w:r w:rsidR="00F65CA6">
        <w:rPr>
          <w:rFonts w:ascii="Times New Roman" w:hAnsi="Times New Roman"/>
          <w:sz w:val="24"/>
          <w:szCs w:val="24"/>
        </w:rPr>
        <w:t>Confederazione danubiana riunente Ungheria, Croazia, Serbia, Romania e</w:t>
      </w:r>
      <w:r w:rsidR="001851D7">
        <w:rPr>
          <w:rFonts w:ascii="Times New Roman" w:hAnsi="Times New Roman"/>
          <w:sz w:val="24"/>
          <w:szCs w:val="24"/>
        </w:rPr>
        <w:t xml:space="preserve"> Transilvania </w:t>
      </w:r>
      <w:r w:rsidR="00B513BA">
        <w:rPr>
          <w:rFonts w:ascii="Times New Roman" w:hAnsi="Times New Roman"/>
          <w:sz w:val="24"/>
          <w:szCs w:val="24"/>
        </w:rPr>
        <w:t>potesse fare a meno del</w:t>
      </w:r>
      <w:r w:rsidR="00CC3D92">
        <w:rPr>
          <w:rFonts w:ascii="Times New Roman" w:hAnsi="Times New Roman"/>
          <w:sz w:val="24"/>
          <w:szCs w:val="24"/>
        </w:rPr>
        <w:t>l’Impero d’Austria</w:t>
      </w:r>
      <w:r w:rsidR="00F65CA6">
        <w:rPr>
          <w:rStyle w:val="Rimandonotaapidipagina"/>
          <w:rFonts w:ascii="Times New Roman" w:hAnsi="Times New Roman"/>
          <w:sz w:val="24"/>
          <w:szCs w:val="24"/>
        </w:rPr>
        <w:footnoteReference w:id="48"/>
      </w:r>
      <w:r w:rsidR="00CC3D92">
        <w:rPr>
          <w:rFonts w:ascii="Times New Roman" w:hAnsi="Times New Roman"/>
          <w:sz w:val="24"/>
          <w:szCs w:val="24"/>
        </w:rPr>
        <w:t>. Non smise mai di pensare che l’Ungheria dovesse liberarsi dalla tutela asburgica e in tal senso</w:t>
      </w:r>
      <w:r w:rsidR="00ED13BA">
        <w:rPr>
          <w:rFonts w:ascii="Times New Roman" w:hAnsi="Times New Roman"/>
          <w:sz w:val="24"/>
          <w:szCs w:val="24"/>
        </w:rPr>
        <w:t xml:space="preserve"> formulò la</w:t>
      </w:r>
      <w:r w:rsidR="00C479F0">
        <w:rPr>
          <w:rFonts w:ascii="Times New Roman" w:hAnsi="Times New Roman"/>
          <w:sz w:val="24"/>
          <w:szCs w:val="24"/>
        </w:rPr>
        <w:t xml:space="preserve"> lettera</w:t>
      </w:r>
      <w:r w:rsidR="00C9616F">
        <w:rPr>
          <w:rFonts w:ascii="Times New Roman" w:hAnsi="Times New Roman"/>
          <w:sz w:val="24"/>
          <w:szCs w:val="24"/>
        </w:rPr>
        <w:t xml:space="preserve"> aperta del 22 maggio 1867</w:t>
      </w:r>
      <w:r w:rsidR="00C9616F">
        <w:rPr>
          <w:rStyle w:val="Rimandonotaapidipagina"/>
          <w:rFonts w:ascii="Times New Roman" w:hAnsi="Times New Roman"/>
          <w:sz w:val="24"/>
          <w:szCs w:val="24"/>
        </w:rPr>
        <w:footnoteReference w:id="49"/>
      </w:r>
      <w:r w:rsidR="00C9616F">
        <w:rPr>
          <w:rFonts w:ascii="Times New Roman" w:hAnsi="Times New Roman"/>
          <w:sz w:val="24"/>
          <w:szCs w:val="24"/>
        </w:rPr>
        <w:t xml:space="preserve">, </w:t>
      </w:r>
      <w:r w:rsidR="00CC3D92">
        <w:rPr>
          <w:rFonts w:ascii="Times New Roman" w:hAnsi="Times New Roman"/>
          <w:sz w:val="24"/>
          <w:szCs w:val="24"/>
        </w:rPr>
        <w:t>poi detta ‘</w:t>
      </w:r>
      <w:r w:rsidR="00ED13BA" w:rsidRPr="00CC3D92">
        <w:rPr>
          <w:rFonts w:ascii="Times New Roman" w:hAnsi="Times New Roman"/>
          <w:sz w:val="24"/>
          <w:szCs w:val="24"/>
        </w:rPr>
        <w:t>di Cassandra</w:t>
      </w:r>
      <w:r w:rsidR="00CC3D92" w:rsidRPr="00CC3D92">
        <w:rPr>
          <w:rFonts w:ascii="Times New Roman" w:hAnsi="Times New Roman"/>
          <w:sz w:val="24"/>
          <w:szCs w:val="24"/>
        </w:rPr>
        <w:t>’</w:t>
      </w:r>
      <w:r w:rsidR="00ED13BA">
        <w:rPr>
          <w:rFonts w:ascii="Times New Roman" w:hAnsi="Times New Roman"/>
          <w:sz w:val="24"/>
          <w:szCs w:val="24"/>
        </w:rPr>
        <w:t xml:space="preserve">, </w:t>
      </w:r>
      <w:r w:rsidR="00ED13BA">
        <w:rPr>
          <w:rFonts w:ascii="Times New Roman" w:hAnsi="Times New Roman"/>
          <w:sz w:val="24"/>
          <w:szCs w:val="24"/>
        </w:rPr>
        <w:lastRenderedPageBreak/>
        <w:t>nella quale ammoniva</w:t>
      </w:r>
      <w:r w:rsidR="00BD5818">
        <w:rPr>
          <w:rFonts w:ascii="Times New Roman" w:hAnsi="Times New Roman"/>
          <w:sz w:val="24"/>
          <w:szCs w:val="24"/>
        </w:rPr>
        <w:t xml:space="preserve"> l’assemblea nazionale e il partito del compromesso</w:t>
      </w:r>
      <w:r w:rsidR="00986389">
        <w:rPr>
          <w:rFonts w:ascii="Times New Roman" w:hAnsi="Times New Roman"/>
          <w:sz w:val="24"/>
          <w:szCs w:val="24"/>
        </w:rPr>
        <w:t xml:space="preserve"> a non accet</w:t>
      </w:r>
      <w:r w:rsidR="00ED13BA">
        <w:rPr>
          <w:rFonts w:ascii="Times New Roman" w:hAnsi="Times New Roman"/>
          <w:sz w:val="24"/>
          <w:szCs w:val="24"/>
        </w:rPr>
        <w:t xml:space="preserve">tare un accordo con gli Asburgo, le cui conseguenze sul lungo </w:t>
      </w:r>
      <w:r w:rsidR="00CC3D92">
        <w:rPr>
          <w:rFonts w:ascii="Times New Roman" w:hAnsi="Times New Roman"/>
          <w:sz w:val="24"/>
          <w:szCs w:val="24"/>
        </w:rPr>
        <w:t>periodo sarebbero risultate</w:t>
      </w:r>
      <w:r w:rsidR="00ED13BA">
        <w:rPr>
          <w:rFonts w:ascii="Times New Roman" w:hAnsi="Times New Roman"/>
          <w:sz w:val="24"/>
          <w:szCs w:val="24"/>
        </w:rPr>
        <w:t xml:space="preserve"> catastrofiche per l’Ungheria.  </w:t>
      </w:r>
      <w:r>
        <w:rPr>
          <w:rFonts w:ascii="Times New Roman" w:hAnsi="Times New Roman"/>
          <w:sz w:val="24"/>
          <w:szCs w:val="24"/>
        </w:rPr>
        <w:t xml:space="preserve"> </w:t>
      </w:r>
    </w:p>
    <w:p w14:paraId="58E36B39" w14:textId="71E02B67" w:rsidR="00DE5E39" w:rsidRDefault="00CC3D92" w:rsidP="000F27D8">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Per realizzare il progetto federativo di Kossuth,</w:t>
      </w:r>
      <w:r w:rsidR="00C9616F">
        <w:rPr>
          <w:rFonts w:ascii="Times New Roman" w:hAnsi="Times New Roman"/>
          <w:sz w:val="24"/>
          <w:szCs w:val="24"/>
        </w:rPr>
        <w:t xml:space="preserve"> </w:t>
      </w:r>
      <w:r w:rsidR="00C947BB">
        <w:rPr>
          <w:rFonts w:ascii="Times New Roman" w:hAnsi="Times New Roman"/>
          <w:sz w:val="24"/>
          <w:szCs w:val="24"/>
        </w:rPr>
        <w:t>gli ungheresi</w:t>
      </w:r>
      <w:r w:rsidR="00C9616F">
        <w:rPr>
          <w:rFonts w:ascii="Times New Roman" w:hAnsi="Times New Roman"/>
          <w:sz w:val="24"/>
          <w:szCs w:val="24"/>
        </w:rPr>
        <w:t xml:space="preserve"> avrebbero dovuto </w:t>
      </w:r>
      <w:r w:rsidR="00F65CA6">
        <w:rPr>
          <w:rFonts w:ascii="Times New Roman" w:hAnsi="Times New Roman"/>
          <w:sz w:val="24"/>
          <w:szCs w:val="24"/>
        </w:rPr>
        <w:t>guadagnare il favore delle</w:t>
      </w:r>
      <w:r w:rsidR="00C947BB" w:rsidRPr="00515E8F">
        <w:rPr>
          <w:rFonts w:ascii="Times New Roman" w:hAnsi="Times New Roman"/>
          <w:sz w:val="24"/>
          <w:szCs w:val="24"/>
        </w:rPr>
        <w:t xml:space="preserve"> nazionalità</w:t>
      </w:r>
      <w:r w:rsidR="00C947BB">
        <w:rPr>
          <w:rFonts w:ascii="Times New Roman" w:hAnsi="Times New Roman"/>
          <w:sz w:val="24"/>
          <w:szCs w:val="24"/>
        </w:rPr>
        <w:t xml:space="preserve"> del regno di </w:t>
      </w:r>
      <w:r w:rsidR="000F27D8">
        <w:rPr>
          <w:rFonts w:ascii="Times New Roman" w:hAnsi="Times New Roman"/>
          <w:sz w:val="24"/>
          <w:szCs w:val="24"/>
        </w:rPr>
        <w:t>Santo Stefano</w:t>
      </w:r>
      <w:r w:rsidR="00FF0665">
        <w:rPr>
          <w:rFonts w:ascii="Times New Roman" w:hAnsi="Times New Roman"/>
          <w:sz w:val="24"/>
          <w:szCs w:val="24"/>
        </w:rPr>
        <w:t>.</w:t>
      </w:r>
      <w:r w:rsidR="000F27D8">
        <w:rPr>
          <w:rFonts w:ascii="Times New Roman" w:hAnsi="Times New Roman"/>
          <w:sz w:val="24"/>
          <w:szCs w:val="24"/>
        </w:rPr>
        <w:t xml:space="preserve"> </w:t>
      </w:r>
      <w:r w:rsidR="00C947BB" w:rsidRPr="00515E8F">
        <w:rPr>
          <w:rFonts w:ascii="Times New Roman" w:hAnsi="Times New Roman"/>
          <w:sz w:val="24"/>
          <w:szCs w:val="24"/>
        </w:rPr>
        <w:t xml:space="preserve">L’accordo </w:t>
      </w:r>
      <w:commentRangeStart w:id="82"/>
      <w:commentRangeStart w:id="83"/>
      <w:r w:rsidR="00C947BB" w:rsidRPr="00515E8F">
        <w:rPr>
          <w:rFonts w:ascii="Times New Roman" w:hAnsi="Times New Roman"/>
          <w:sz w:val="24"/>
          <w:szCs w:val="24"/>
        </w:rPr>
        <w:t>con le</w:t>
      </w:r>
      <w:r w:rsidR="002A31B8">
        <w:rPr>
          <w:rFonts w:ascii="Times New Roman" w:hAnsi="Times New Roman"/>
          <w:sz w:val="24"/>
          <w:szCs w:val="24"/>
        </w:rPr>
        <w:t xml:space="preserve"> altre</w:t>
      </w:r>
      <w:r w:rsidR="00C947BB" w:rsidRPr="00515E8F">
        <w:rPr>
          <w:rFonts w:ascii="Times New Roman" w:hAnsi="Times New Roman"/>
          <w:sz w:val="24"/>
          <w:szCs w:val="24"/>
        </w:rPr>
        <w:t xml:space="preserve"> componenti nazionali</w:t>
      </w:r>
      <w:commentRangeEnd w:id="82"/>
      <w:r w:rsidR="0051341C">
        <w:rPr>
          <w:rStyle w:val="Rimandocommento"/>
        </w:rPr>
        <w:commentReference w:id="82"/>
      </w:r>
      <w:commentRangeEnd w:id="83"/>
      <w:r w:rsidR="007772DE">
        <w:rPr>
          <w:rStyle w:val="Rimandocommento"/>
        </w:rPr>
        <w:commentReference w:id="83"/>
      </w:r>
      <w:r w:rsidR="00C947BB" w:rsidRPr="00515E8F">
        <w:rPr>
          <w:rFonts w:ascii="Times New Roman" w:hAnsi="Times New Roman"/>
          <w:sz w:val="24"/>
          <w:szCs w:val="24"/>
        </w:rPr>
        <w:t xml:space="preserve"> avrebbe potuto portare</w:t>
      </w:r>
      <w:r w:rsidR="00C947BB">
        <w:rPr>
          <w:rFonts w:ascii="Times New Roman" w:hAnsi="Times New Roman"/>
          <w:sz w:val="24"/>
          <w:szCs w:val="24"/>
        </w:rPr>
        <w:t xml:space="preserve"> a forme di autonomia culturale</w:t>
      </w:r>
      <w:r w:rsidR="005F45C1">
        <w:rPr>
          <w:rFonts w:ascii="Times New Roman" w:hAnsi="Times New Roman"/>
          <w:sz w:val="24"/>
          <w:szCs w:val="24"/>
        </w:rPr>
        <w:t xml:space="preserve"> ma non politica,</w:t>
      </w:r>
      <w:r w:rsidR="00C947BB" w:rsidRPr="00515E8F">
        <w:rPr>
          <w:rFonts w:ascii="Times New Roman" w:hAnsi="Times New Roman"/>
          <w:sz w:val="24"/>
          <w:szCs w:val="24"/>
        </w:rPr>
        <w:t xml:space="preserve"> decisamente osteggiata dalla maggior parte degli ungheresi in p</w:t>
      </w:r>
      <w:r w:rsidR="0001258F">
        <w:rPr>
          <w:rFonts w:ascii="Times New Roman" w:hAnsi="Times New Roman"/>
          <w:sz w:val="24"/>
          <w:szCs w:val="24"/>
        </w:rPr>
        <w:t xml:space="preserve">atria. </w:t>
      </w:r>
      <w:r w:rsidR="00C947BB" w:rsidRPr="00515E8F">
        <w:rPr>
          <w:rFonts w:ascii="Times New Roman" w:hAnsi="Times New Roman"/>
          <w:sz w:val="24"/>
          <w:szCs w:val="24"/>
        </w:rPr>
        <w:t xml:space="preserve"> </w:t>
      </w:r>
      <w:r w:rsidR="0001258F">
        <w:rPr>
          <w:rFonts w:ascii="Times New Roman" w:hAnsi="Times New Roman"/>
          <w:sz w:val="24"/>
          <w:szCs w:val="24"/>
        </w:rPr>
        <w:t>L’</w:t>
      </w:r>
      <w:r w:rsidR="00C947BB" w:rsidRPr="00515E8F">
        <w:rPr>
          <w:rFonts w:ascii="Times New Roman" w:hAnsi="Times New Roman"/>
          <w:sz w:val="24"/>
          <w:szCs w:val="24"/>
        </w:rPr>
        <w:t>esiguo</w:t>
      </w:r>
      <w:r w:rsidR="0001258F">
        <w:rPr>
          <w:rFonts w:ascii="Times New Roman" w:hAnsi="Times New Roman"/>
          <w:sz w:val="24"/>
          <w:szCs w:val="24"/>
        </w:rPr>
        <w:t xml:space="preserve"> gruppo dei fautori del compromesso </w:t>
      </w:r>
      <w:r w:rsidR="00C947BB" w:rsidRPr="00515E8F">
        <w:rPr>
          <w:rFonts w:ascii="Times New Roman" w:hAnsi="Times New Roman"/>
          <w:sz w:val="24"/>
          <w:szCs w:val="24"/>
        </w:rPr>
        <w:t xml:space="preserve">riuniva nomi di grande prestigio </w:t>
      </w:r>
      <w:r w:rsidR="0001258F">
        <w:rPr>
          <w:rFonts w:ascii="Times New Roman" w:hAnsi="Times New Roman"/>
          <w:sz w:val="24"/>
          <w:szCs w:val="24"/>
        </w:rPr>
        <w:t>intorno al giurista Ferenc Deák e</w:t>
      </w:r>
      <w:r w:rsidR="00C947BB" w:rsidRPr="00515E8F">
        <w:rPr>
          <w:rFonts w:ascii="Times New Roman" w:hAnsi="Times New Roman"/>
          <w:sz w:val="24"/>
          <w:szCs w:val="24"/>
        </w:rPr>
        <w:t xml:space="preserve"> </w:t>
      </w:r>
      <w:r w:rsidR="002A31B8">
        <w:rPr>
          <w:rFonts w:ascii="Times New Roman" w:hAnsi="Times New Roman"/>
          <w:sz w:val="24"/>
          <w:szCs w:val="24"/>
        </w:rPr>
        <w:t>gestiva un difficile equilibrio</w:t>
      </w:r>
      <w:r w:rsidR="0001258F">
        <w:rPr>
          <w:rFonts w:ascii="Times New Roman" w:hAnsi="Times New Roman"/>
          <w:sz w:val="24"/>
          <w:szCs w:val="24"/>
        </w:rPr>
        <w:t>,</w:t>
      </w:r>
      <w:r w:rsidR="00C947BB" w:rsidRPr="00515E8F">
        <w:rPr>
          <w:rFonts w:ascii="Times New Roman" w:hAnsi="Times New Roman"/>
          <w:sz w:val="24"/>
          <w:szCs w:val="24"/>
        </w:rPr>
        <w:t xml:space="preserve"> dovendo contemporaneamente tacitare l’opposizione più intransigente e tenere sotto controllo i movimenti nazionali dei popoli non magia</w:t>
      </w:r>
      <w:r w:rsidR="00C851C9">
        <w:rPr>
          <w:rFonts w:ascii="Times New Roman" w:hAnsi="Times New Roman"/>
          <w:sz w:val="24"/>
          <w:szCs w:val="24"/>
        </w:rPr>
        <w:t>ri del regno. Il complesso dei territori ereditari con i</w:t>
      </w:r>
      <w:r w:rsidR="00BA468F">
        <w:rPr>
          <w:rFonts w:ascii="Times New Roman" w:hAnsi="Times New Roman"/>
          <w:sz w:val="24"/>
          <w:szCs w:val="24"/>
        </w:rPr>
        <w:t xml:space="preserve"> regni associati di Boemia e </w:t>
      </w:r>
      <w:r w:rsidR="00C851C9">
        <w:rPr>
          <w:rFonts w:ascii="Times New Roman" w:hAnsi="Times New Roman"/>
          <w:sz w:val="24"/>
          <w:szCs w:val="24"/>
        </w:rPr>
        <w:t>Galizia</w:t>
      </w:r>
      <w:r w:rsidR="00C947BB" w:rsidRPr="00515E8F">
        <w:rPr>
          <w:rFonts w:ascii="Times New Roman" w:hAnsi="Times New Roman"/>
          <w:sz w:val="24"/>
          <w:szCs w:val="24"/>
        </w:rPr>
        <w:t xml:space="preserve"> non era ne</w:t>
      </w:r>
      <w:r w:rsidR="00C851C9">
        <w:rPr>
          <w:rFonts w:ascii="Times New Roman" w:hAnsi="Times New Roman"/>
          <w:sz w:val="24"/>
          <w:szCs w:val="24"/>
        </w:rPr>
        <w:t>cessariamente vincolato</w:t>
      </w:r>
      <w:r w:rsidR="00C947BB" w:rsidRPr="00515E8F">
        <w:rPr>
          <w:rFonts w:ascii="Times New Roman" w:hAnsi="Times New Roman"/>
          <w:sz w:val="24"/>
          <w:szCs w:val="24"/>
        </w:rPr>
        <w:t xml:space="preserve"> alla scelta </w:t>
      </w:r>
      <w:r w:rsidR="00C947BB" w:rsidRPr="002A31B8">
        <w:rPr>
          <w:rFonts w:ascii="Times New Roman" w:hAnsi="Times New Roman"/>
          <w:sz w:val="24"/>
          <w:szCs w:val="24"/>
        </w:rPr>
        <w:t xml:space="preserve">dell’ipotesi </w:t>
      </w:r>
      <w:r w:rsidR="002A31B8" w:rsidRPr="002A31B8">
        <w:rPr>
          <w:rFonts w:ascii="Times New Roman" w:hAnsi="Times New Roman"/>
          <w:sz w:val="24"/>
          <w:szCs w:val="24"/>
        </w:rPr>
        <w:t>dualistica</w:t>
      </w:r>
      <w:r w:rsidR="00C947BB" w:rsidRPr="002A31B8">
        <w:rPr>
          <w:rFonts w:ascii="Times New Roman" w:hAnsi="Times New Roman"/>
          <w:sz w:val="24"/>
          <w:szCs w:val="24"/>
        </w:rPr>
        <w:t xml:space="preserve"> con</w:t>
      </w:r>
      <w:r w:rsidR="00812F68">
        <w:rPr>
          <w:rFonts w:ascii="Times New Roman" w:hAnsi="Times New Roman"/>
          <w:sz w:val="24"/>
          <w:szCs w:val="24"/>
        </w:rPr>
        <w:t xml:space="preserve"> gli ungheresi</w:t>
      </w:r>
      <w:r w:rsidR="00F65CA6">
        <w:rPr>
          <w:rFonts w:ascii="Times New Roman" w:hAnsi="Times New Roman"/>
          <w:sz w:val="24"/>
          <w:szCs w:val="24"/>
        </w:rPr>
        <w:t xml:space="preserve">, </w:t>
      </w:r>
      <w:r w:rsidR="00812F68">
        <w:rPr>
          <w:rFonts w:ascii="Times New Roman" w:hAnsi="Times New Roman"/>
          <w:sz w:val="24"/>
          <w:szCs w:val="24"/>
        </w:rPr>
        <w:t>ma fu</w:t>
      </w:r>
      <w:r w:rsidR="00C947BB" w:rsidRPr="00515E8F">
        <w:rPr>
          <w:rFonts w:ascii="Times New Roman" w:hAnsi="Times New Roman"/>
          <w:sz w:val="24"/>
          <w:szCs w:val="24"/>
        </w:rPr>
        <w:t xml:space="preserve"> que</w:t>
      </w:r>
      <w:r w:rsidR="002A31B8">
        <w:rPr>
          <w:rFonts w:ascii="Times New Roman" w:hAnsi="Times New Roman"/>
          <w:sz w:val="24"/>
          <w:szCs w:val="24"/>
        </w:rPr>
        <w:t>lla</w:t>
      </w:r>
      <w:r w:rsidR="00BA468F">
        <w:rPr>
          <w:rFonts w:ascii="Times New Roman" w:hAnsi="Times New Roman"/>
          <w:sz w:val="24"/>
          <w:szCs w:val="24"/>
        </w:rPr>
        <w:t xml:space="preserve"> la soluzione </w:t>
      </w:r>
      <w:r w:rsidR="00A06D2D">
        <w:rPr>
          <w:rFonts w:ascii="Times New Roman" w:hAnsi="Times New Roman"/>
          <w:sz w:val="24"/>
          <w:szCs w:val="24"/>
        </w:rPr>
        <w:t>che l’imperatore decise di imporre</w:t>
      </w:r>
      <w:r w:rsidR="004C714E">
        <w:rPr>
          <w:rFonts w:ascii="Times New Roman" w:hAnsi="Times New Roman"/>
          <w:sz w:val="24"/>
          <w:szCs w:val="24"/>
        </w:rPr>
        <w:t xml:space="preserve"> ai suoi</w:t>
      </w:r>
      <w:r w:rsidR="00C851C9">
        <w:rPr>
          <w:rFonts w:ascii="Times New Roman" w:hAnsi="Times New Roman"/>
          <w:sz w:val="24"/>
          <w:szCs w:val="24"/>
        </w:rPr>
        <w:t xml:space="preserve"> ‘austriaci’</w:t>
      </w:r>
      <w:r w:rsidR="00DE5E39">
        <w:rPr>
          <w:rFonts w:ascii="Times New Roman" w:hAnsi="Times New Roman"/>
          <w:sz w:val="24"/>
          <w:szCs w:val="24"/>
        </w:rPr>
        <w:t>.</w:t>
      </w:r>
    </w:p>
    <w:p w14:paraId="6299A8B1" w14:textId="50805FB8" w:rsidR="00000DCA" w:rsidRDefault="00DE5E39" w:rsidP="00000DCA">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I due protagonisti – l’I</w:t>
      </w:r>
      <w:r w:rsidR="00C947BB" w:rsidRPr="00515E8F">
        <w:rPr>
          <w:rFonts w:ascii="Times New Roman" w:hAnsi="Times New Roman"/>
          <w:sz w:val="24"/>
          <w:szCs w:val="24"/>
        </w:rPr>
        <w:t>mperatore France</w:t>
      </w:r>
      <w:r>
        <w:rPr>
          <w:rFonts w:ascii="Times New Roman" w:hAnsi="Times New Roman"/>
          <w:sz w:val="24"/>
          <w:szCs w:val="24"/>
        </w:rPr>
        <w:t>sco Giuseppe I e lo stesso Deák –</w:t>
      </w:r>
      <w:r w:rsidR="006E7321">
        <w:rPr>
          <w:rFonts w:ascii="Times New Roman" w:hAnsi="Times New Roman"/>
          <w:sz w:val="24"/>
          <w:szCs w:val="24"/>
        </w:rPr>
        <w:t xml:space="preserve"> erano uomini </w:t>
      </w:r>
      <w:r w:rsidR="00C947BB">
        <w:rPr>
          <w:rFonts w:ascii="Times New Roman" w:hAnsi="Times New Roman"/>
          <w:sz w:val="24"/>
          <w:szCs w:val="24"/>
        </w:rPr>
        <w:t xml:space="preserve"> di buon senso. Per l’ungherese, compenetrato dell’</w:t>
      </w:r>
      <w:r w:rsidR="00C947BB" w:rsidRPr="00DE5E39">
        <w:rPr>
          <w:rFonts w:ascii="Times New Roman" w:hAnsi="Times New Roman"/>
          <w:i/>
          <w:sz w:val="24"/>
          <w:szCs w:val="24"/>
        </w:rPr>
        <w:t>ethos</w:t>
      </w:r>
      <w:r w:rsidR="00C947BB">
        <w:rPr>
          <w:rFonts w:ascii="Times New Roman" w:hAnsi="Times New Roman"/>
          <w:sz w:val="24"/>
          <w:szCs w:val="24"/>
        </w:rPr>
        <w:t xml:space="preserve"> della mediazion</w:t>
      </w:r>
      <w:r w:rsidR="00E36551">
        <w:rPr>
          <w:rFonts w:ascii="Times New Roman" w:hAnsi="Times New Roman"/>
          <w:sz w:val="24"/>
          <w:szCs w:val="24"/>
        </w:rPr>
        <w:t>e,</w:t>
      </w:r>
      <w:r w:rsidR="00C947BB" w:rsidRPr="00515E8F">
        <w:rPr>
          <w:rFonts w:ascii="Times New Roman" w:hAnsi="Times New Roman"/>
          <w:sz w:val="24"/>
          <w:szCs w:val="24"/>
        </w:rPr>
        <w:t xml:space="preserve"> il buon senso </w:t>
      </w:r>
      <w:r w:rsidR="00714DF9">
        <w:rPr>
          <w:rFonts w:ascii="Times New Roman" w:hAnsi="Times New Roman"/>
          <w:sz w:val="24"/>
          <w:szCs w:val="24"/>
        </w:rPr>
        <w:t>consistette in un atteggiamento moderato</w:t>
      </w:r>
      <w:r w:rsidR="00C947BB" w:rsidRPr="00515E8F">
        <w:rPr>
          <w:rFonts w:ascii="Times New Roman" w:hAnsi="Times New Roman"/>
          <w:sz w:val="24"/>
          <w:szCs w:val="24"/>
        </w:rPr>
        <w:t xml:space="preserve"> dopo la sconfitta imperiale del 1866</w:t>
      </w:r>
      <w:commentRangeStart w:id="84"/>
      <w:commentRangeStart w:id="85"/>
      <w:r w:rsidR="00C947BB">
        <w:rPr>
          <w:rStyle w:val="Rimandonotaapidipagina"/>
          <w:rFonts w:ascii="Times New Roman" w:hAnsi="Times New Roman"/>
          <w:sz w:val="24"/>
          <w:szCs w:val="24"/>
        </w:rPr>
        <w:footnoteReference w:id="50"/>
      </w:r>
      <w:commentRangeEnd w:id="84"/>
      <w:r w:rsidR="00212A33">
        <w:rPr>
          <w:rStyle w:val="Rimandocommento"/>
        </w:rPr>
        <w:commentReference w:id="84"/>
      </w:r>
      <w:commentRangeEnd w:id="85"/>
      <w:r w:rsidR="007772DE">
        <w:rPr>
          <w:rStyle w:val="Rimandocommento"/>
        </w:rPr>
        <w:commentReference w:id="85"/>
      </w:r>
      <w:r>
        <w:rPr>
          <w:rFonts w:ascii="Times New Roman" w:hAnsi="Times New Roman"/>
          <w:sz w:val="24"/>
          <w:szCs w:val="24"/>
        </w:rPr>
        <w:t>.</w:t>
      </w:r>
      <w:r w:rsidR="00C947BB" w:rsidRPr="00515E8F">
        <w:rPr>
          <w:rFonts w:ascii="Times New Roman" w:hAnsi="Times New Roman"/>
          <w:sz w:val="24"/>
          <w:szCs w:val="24"/>
        </w:rPr>
        <w:t xml:space="preserve"> </w:t>
      </w:r>
      <w:r w:rsidRPr="00515E8F">
        <w:rPr>
          <w:rFonts w:ascii="Times New Roman" w:hAnsi="Times New Roman"/>
          <w:sz w:val="24"/>
          <w:szCs w:val="24"/>
        </w:rPr>
        <w:t>P</w:t>
      </w:r>
      <w:r w:rsidR="00C947BB" w:rsidRPr="00515E8F">
        <w:rPr>
          <w:rFonts w:ascii="Times New Roman" w:hAnsi="Times New Roman"/>
          <w:sz w:val="24"/>
          <w:szCs w:val="24"/>
        </w:rPr>
        <w:t>er il sovrano fu l</w:t>
      </w:r>
      <w:r w:rsidR="001851D7">
        <w:rPr>
          <w:rFonts w:ascii="Times New Roman" w:hAnsi="Times New Roman"/>
          <w:sz w:val="24"/>
          <w:szCs w:val="24"/>
        </w:rPr>
        <w:t>’idea che l’Ungheria</w:t>
      </w:r>
      <w:r w:rsidR="00C947BB" w:rsidRPr="00515E8F">
        <w:rPr>
          <w:rFonts w:ascii="Times New Roman" w:hAnsi="Times New Roman"/>
          <w:sz w:val="24"/>
          <w:szCs w:val="24"/>
        </w:rPr>
        <w:t xml:space="preserve"> potesse rivelarsi un valido s</w:t>
      </w:r>
      <w:r w:rsidR="00AB5A90">
        <w:rPr>
          <w:rFonts w:ascii="Times New Roman" w:hAnsi="Times New Roman"/>
          <w:sz w:val="24"/>
          <w:szCs w:val="24"/>
        </w:rPr>
        <w:t>ostegno per la m</w:t>
      </w:r>
      <w:r w:rsidR="00C947BB" w:rsidRPr="00515E8F">
        <w:rPr>
          <w:rFonts w:ascii="Times New Roman" w:hAnsi="Times New Roman"/>
          <w:sz w:val="24"/>
          <w:szCs w:val="24"/>
        </w:rPr>
        <w:t xml:space="preserve">onarchia una volta soddisfatte le sue rivendicazioni fondamentali. </w:t>
      </w:r>
      <w:commentRangeStart w:id="86"/>
      <w:commentRangeStart w:id="87"/>
      <w:r w:rsidR="00C947BB" w:rsidRPr="00515E8F">
        <w:rPr>
          <w:rFonts w:ascii="Times New Roman" w:hAnsi="Times New Roman"/>
          <w:sz w:val="24"/>
          <w:szCs w:val="24"/>
        </w:rPr>
        <w:t>E</w:t>
      </w:r>
      <w:r w:rsidR="001851D7">
        <w:rPr>
          <w:rFonts w:ascii="Times New Roman" w:hAnsi="Times New Roman"/>
          <w:sz w:val="24"/>
          <w:szCs w:val="24"/>
        </w:rPr>
        <w:t>ntrambe le parti</w:t>
      </w:r>
      <w:r w:rsidR="00C947BB" w:rsidRPr="00515E8F">
        <w:rPr>
          <w:rFonts w:ascii="Times New Roman" w:hAnsi="Times New Roman"/>
          <w:sz w:val="24"/>
          <w:szCs w:val="24"/>
        </w:rPr>
        <w:t xml:space="preserve"> </w:t>
      </w:r>
      <w:r w:rsidR="001851D7">
        <w:rPr>
          <w:rFonts w:ascii="Times New Roman" w:hAnsi="Times New Roman"/>
          <w:sz w:val="24"/>
          <w:szCs w:val="24"/>
        </w:rPr>
        <w:t>erano consapevoli dei vantaggi di un accordo</w:t>
      </w:r>
      <w:r w:rsidR="00C947BB">
        <w:rPr>
          <w:rFonts w:ascii="Times New Roman" w:hAnsi="Times New Roman"/>
          <w:sz w:val="24"/>
          <w:szCs w:val="24"/>
        </w:rPr>
        <w:t>, ma</w:t>
      </w:r>
      <w:r w:rsidR="001851D7">
        <w:rPr>
          <w:rFonts w:ascii="Times New Roman" w:hAnsi="Times New Roman"/>
          <w:sz w:val="24"/>
          <w:szCs w:val="24"/>
        </w:rPr>
        <w:t xml:space="preserve"> con il compromesso</w:t>
      </w:r>
      <w:r w:rsidR="00C947BB">
        <w:rPr>
          <w:rFonts w:ascii="Times New Roman" w:hAnsi="Times New Roman"/>
          <w:sz w:val="24"/>
          <w:szCs w:val="24"/>
        </w:rPr>
        <w:t xml:space="preserve"> l’A</w:t>
      </w:r>
      <w:r w:rsidR="001851D7">
        <w:rPr>
          <w:rFonts w:ascii="Times New Roman" w:hAnsi="Times New Roman"/>
          <w:sz w:val="24"/>
          <w:szCs w:val="24"/>
        </w:rPr>
        <w:t>ustria</w:t>
      </w:r>
      <w:r w:rsidR="00C947BB">
        <w:rPr>
          <w:rFonts w:ascii="Times New Roman" w:hAnsi="Times New Roman"/>
          <w:sz w:val="24"/>
          <w:szCs w:val="24"/>
        </w:rPr>
        <w:t xml:space="preserve"> rinunciò in via definitiva al pri</w:t>
      </w:r>
      <w:r w:rsidR="00AB5A90">
        <w:rPr>
          <w:rFonts w:ascii="Times New Roman" w:hAnsi="Times New Roman"/>
          <w:sz w:val="24"/>
          <w:szCs w:val="24"/>
        </w:rPr>
        <w:t>ncipio della m</w:t>
      </w:r>
      <w:r w:rsidR="00C947BB">
        <w:rPr>
          <w:rFonts w:ascii="Times New Roman" w:hAnsi="Times New Roman"/>
          <w:sz w:val="24"/>
          <w:szCs w:val="24"/>
        </w:rPr>
        <w:t>onarchia unitaria e centralizzata</w:t>
      </w:r>
      <w:commentRangeEnd w:id="86"/>
      <w:r w:rsidR="00711010">
        <w:rPr>
          <w:rStyle w:val="Rimandocommento"/>
        </w:rPr>
        <w:commentReference w:id="86"/>
      </w:r>
      <w:commentRangeEnd w:id="87"/>
      <w:r w:rsidR="007772DE">
        <w:rPr>
          <w:rStyle w:val="Rimandocommento"/>
        </w:rPr>
        <w:commentReference w:id="87"/>
      </w:r>
      <w:r w:rsidR="00C947BB">
        <w:rPr>
          <w:rStyle w:val="Rimandonotaapidipagina"/>
          <w:rFonts w:ascii="Times New Roman" w:hAnsi="Times New Roman"/>
          <w:sz w:val="24"/>
          <w:szCs w:val="24"/>
        </w:rPr>
        <w:footnoteReference w:id="51"/>
      </w:r>
      <w:r w:rsidR="00C947BB" w:rsidRPr="00515E8F">
        <w:rPr>
          <w:rFonts w:ascii="Times New Roman" w:hAnsi="Times New Roman"/>
          <w:sz w:val="24"/>
          <w:szCs w:val="24"/>
        </w:rPr>
        <w:t xml:space="preserve">. La dimostrazione di quanto gli ungheresi avessero </w:t>
      </w:r>
      <w:r w:rsidR="00C947BB">
        <w:rPr>
          <w:rFonts w:ascii="Times New Roman" w:hAnsi="Times New Roman"/>
          <w:sz w:val="24"/>
          <w:szCs w:val="24"/>
        </w:rPr>
        <w:t>fatto tesoro della sconfitta d</w:t>
      </w:r>
      <w:r w:rsidR="00C14142">
        <w:rPr>
          <w:rFonts w:ascii="Times New Roman" w:hAnsi="Times New Roman"/>
          <w:sz w:val="24"/>
          <w:szCs w:val="24"/>
        </w:rPr>
        <w:t>el 1849 f</w:t>
      </w:r>
      <w:r w:rsidR="007772DE">
        <w:rPr>
          <w:rFonts w:ascii="Times New Roman" w:hAnsi="Times New Roman"/>
          <w:sz w:val="24"/>
          <w:szCs w:val="24"/>
        </w:rPr>
        <w:t>u il formarsi del nuovo Partito liberale per fusion</w:t>
      </w:r>
      <w:r w:rsidR="008233B4">
        <w:rPr>
          <w:rFonts w:ascii="Times New Roman" w:hAnsi="Times New Roman"/>
          <w:sz w:val="24"/>
          <w:szCs w:val="24"/>
        </w:rPr>
        <w:t xml:space="preserve">e del partito dell’Indirizzo di </w:t>
      </w:r>
      <w:r w:rsidR="008233B4" w:rsidRPr="008233B4">
        <w:rPr>
          <w:rFonts w:ascii="Times New Roman" w:hAnsi="Times New Roman"/>
          <w:sz w:val="24"/>
          <w:szCs w:val="24"/>
        </w:rPr>
        <w:t>Deák</w:t>
      </w:r>
      <w:r w:rsidR="00202AFB" w:rsidRPr="00202AFB">
        <w:rPr>
          <w:rFonts w:ascii="Times New Roman" w:hAnsi="Times New Roman"/>
          <w:sz w:val="24"/>
          <w:szCs w:val="24"/>
        </w:rPr>
        <w:t xml:space="preserve"> con il centro-sinistra</w:t>
      </w:r>
      <w:r w:rsidR="008233B4">
        <w:rPr>
          <w:rFonts w:ascii="Times New Roman" w:hAnsi="Times New Roman"/>
          <w:sz w:val="24"/>
          <w:szCs w:val="24"/>
        </w:rPr>
        <w:t xml:space="preserve"> di </w:t>
      </w:r>
      <w:r w:rsidR="008233B4" w:rsidRPr="00515E8F">
        <w:rPr>
          <w:rFonts w:ascii="Times New Roman" w:hAnsi="Times New Roman"/>
          <w:sz w:val="24"/>
          <w:szCs w:val="24"/>
        </w:rPr>
        <w:t>Kálmán Tisz</w:t>
      </w:r>
      <w:r w:rsidR="008233B4">
        <w:rPr>
          <w:rFonts w:ascii="Times New Roman" w:hAnsi="Times New Roman"/>
          <w:sz w:val="24"/>
          <w:szCs w:val="24"/>
        </w:rPr>
        <w:t>a, che assurse alla guida della nuova formazione politica</w:t>
      </w:r>
      <w:r w:rsidR="008233B4">
        <w:rPr>
          <w:rStyle w:val="Rimandonotaapidipagina"/>
          <w:rFonts w:ascii="Times New Roman" w:hAnsi="Times New Roman"/>
          <w:sz w:val="24"/>
          <w:szCs w:val="24"/>
        </w:rPr>
        <w:footnoteReference w:id="52"/>
      </w:r>
      <w:r w:rsidR="008233B4">
        <w:rPr>
          <w:rFonts w:ascii="Times New Roman" w:hAnsi="Times New Roman"/>
          <w:sz w:val="24"/>
          <w:szCs w:val="24"/>
        </w:rPr>
        <w:t>.</w:t>
      </w:r>
      <w:r w:rsidR="00C947BB" w:rsidRPr="00515E8F">
        <w:rPr>
          <w:rFonts w:ascii="Times New Roman" w:hAnsi="Times New Roman"/>
          <w:sz w:val="24"/>
          <w:szCs w:val="24"/>
        </w:rPr>
        <w:t xml:space="preserve"> </w:t>
      </w:r>
      <w:r w:rsidR="00A06D2D">
        <w:rPr>
          <w:rFonts w:ascii="Times New Roman" w:hAnsi="Times New Roman"/>
          <w:sz w:val="24"/>
          <w:szCs w:val="24"/>
        </w:rPr>
        <w:t xml:space="preserve">Secondo </w:t>
      </w:r>
      <w:r w:rsidR="002C4253">
        <w:rPr>
          <w:rFonts w:ascii="Times New Roman" w:hAnsi="Times New Roman"/>
          <w:sz w:val="24"/>
          <w:szCs w:val="24"/>
        </w:rPr>
        <w:t>i critici aust</w:t>
      </w:r>
      <w:r w:rsidR="00856E0A">
        <w:rPr>
          <w:rFonts w:ascii="Times New Roman" w:hAnsi="Times New Roman"/>
          <w:sz w:val="24"/>
          <w:szCs w:val="24"/>
        </w:rPr>
        <w:t>riaci del sistema dualistico</w:t>
      </w:r>
      <w:r w:rsidR="00A06D2D">
        <w:rPr>
          <w:rStyle w:val="Rimandonotaapidipagina"/>
          <w:rFonts w:ascii="Times New Roman" w:hAnsi="Times New Roman"/>
          <w:sz w:val="24"/>
          <w:szCs w:val="24"/>
        </w:rPr>
        <w:footnoteReference w:id="53"/>
      </w:r>
      <w:r w:rsidR="00A06D2D">
        <w:rPr>
          <w:rFonts w:ascii="Times New Roman" w:hAnsi="Times New Roman"/>
          <w:sz w:val="24"/>
          <w:szCs w:val="24"/>
        </w:rPr>
        <w:t>, Tisza</w:t>
      </w:r>
      <w:r w:rsidR="008233B4">
        <w:rPr>
          <w:rFonts w:ascii="Times New Roman" w:hAnsi="Times New Roman"/>
          <w:sz w:val="24"/>
          <w:szCs w:val="24"/>
        </w:rPr>
        <w:t xml:space="preserve">, un </w:t>
      </w:r>
      <w:r w:rsidR="008233B4" w:rsidRPr="008233B4">
        <w:rPr>
          <w:rFonts w:ascii="Times New Roman" w:hAnsi="Times New Roman"/>
          <w:i/>
          <w:sz w:val="24"/>
          <w:szCs w:val="24"/>
        </w:rPr>
        <w:t>realpolitiker</w:t>
      </w:r>
      <w:r w:rsidR="008233B4">
        <w:rPr>
          <w:rFonts w:ascii="Times New Roman" w:hAnsi="Times New Roman"/>
          <w:sz w:val="24"/>
          <w:szCs w:val="24"/>
        </w:rPr>
        <w:t>,</w:t>
      </w:r>
      <w:r w:rsidR="00A06D2D">
        <w:rPr>
          <w:rFonts w:ascii="Times New Roman" w:hAnsi="Times New Roman"/>
          <w:sz w:val="24"/>
          <w:szCs w:val="24"/>
        </w:rPr>
        <w:t xml:space="preserve"> </w:t>
      </w:r>
      <w:r w:rsidR="00C53A9A">
        <w:rPr>
          <w:rFonts w:ascii="Times New Roman" w:hAnsi="Times New Roman"/>
          <w:sz w:val="24"/>
          <w:szCs w:val="24"/>
        </w:rPr>
        <w:t>mirava</w:t>
      </w:r>
      <w:r w:rsidR="00A06D2D">
        <w:rPr>
          <w:rFonts w:ascii="Times New Roman" w:hAnsi="Times New Roman"/>
          <w:sz w:val="24"/>
          <w:szCs w:val="24"/>
        </w:rPr>
        <w:t xml:space="preserve"> al primato ungherese nella Monarchia: in ogni caso diversa era </w:t>
      </w:r>
      <w:r w:rsidR="00A06D2D">
        <w:rPr>
          <w:rFonts w:ascii="Times New Roman" w:hAnsi="Times New Roman"/>
          <w:sz w:val="24"/>
          <w:szCs w:val="24"/>
        </w:rPr>
        <w:lastRenderedPageBreak/>
        <w:t xml:space="preserve">l’interpretazione </w:t>
      </w:r>
      <w:r w:rsidR="002C4253">
        <w:rPr>
          <w:rFonts w:ascii="Times New Roman" w:hAnsi="Times New Roman"/>
          <w:sz w:val="24"/>
          <w:szCs w:val="24"/>
        </w:rPr>
        <w:t xml:space="preserve">che del Dualismo </w:t>
      </w:r>
      <w:r w:rsidR="00A06D2D">
        <w:rPr>
          <w:rFonts w:ascii="Times New Roman" w:hAnsi="Times New Roman"/>
          <w:sz w:val="24"/>
          <w:szCs w:val="24"/>
        </w:rPr>
        <w:t xml:space="preserve">si dava in Austria e in Ungheria. Per Vienna la nuova strutturazione portava ad un </w:t>
      </w:r>
      <w:r w:rsidR="00A06D2D" w:rsidRPr="00414177">
        <w:rPr>
          <w:rFonts w:ascii="Times New Roman" w:hAnsi="Times New Roman"/>
          <w:i/>
          <w:sz w:val="24"/>
          <w:szCs w:val="24"/>
        </w:rPr>
        <w:t>Oberstaat</w:t>
      </w:r>
      <w:r w:rsidR="00A06D2D">
        <w:rPr>
          <w:rFonts w:ascii="Times New Roman" w:hAnsi="Times New Roman"/>
          <w:sz w:val="24"/>
          <w:szCs w:val="24"/>
        </w:rPr>
        <w:t xml:space="preserve"> formato da due metà o </w:t>
      </w:r>
      <w:r w:rsidR="00A06D2D" w:rsidRPr="00414177">
        <w:rPr>
          <w:rFonts w:ascii="Times New Roman" w:hAnsi="Times New Roman"/>
          <w:i/>
          <w:sz w:val="24"/>
          <w:szCs w:val="24"/>
        </w:rPr>
        <w:t>Reichshälfte</w:t>
      </w:r>
      <w:r w:rsidR="00A06D2D">
        <w:rPr>
          <w:rFonts w:ascii="Times New Roman" w:hAnsi="Times New Roman"/>
          <w:sz w:val="24"/>
          <w:szCs w:val="24"/>
        </w:rPr>
        <w:t>, mentre Pest-Buda continuava a rite</w:t>
      </w:r>
      <w:r w:rsidR="007F593C">
        <w:rPr>
          <w:rFonts w:ascii="Times New Roman" w:hAnsi="Times New Roman"/>
          <w:sz w:val="24"/>
          <w:szCs w:val="24"/>
        </w:rPr>
        <w:t>nersi uno Stato costituzionale separato</w:t>
      </w:r>
      <w:r w:rsidR="00A06D2D">
        <w:rPr>
          <w:rFonts w:ascii="Times New Roman" w:hAnsi="Times New Roman"/>
          <w:sz w:val="24"/>
          <w:szCs w:val="24"/>
        </w:rPr>
        <w:t xml:space="preserve">. </w:t>
      </w:r>
      <w:r w:rsidR="00C947BB" w:rsidRPr="00515E8F">
        <w:rPr>
          <w:rFonts w:ascii="Times New Roman" w:hAnsi="Times New Roman"/>
          <w:sz w:val="24"/>
          <w:szCs w:val="24"/>
        </w:rPr>
        <w:t>Tisza</w:t>
      </w:r>
      <w:r w:rsidR="00C947BB">
        <w:rPr>
          <w:rFonts w:ascii="Times New Roman" w:hAnsi="Times New Roman"/>
          <w:sz w:val="24"/>
          <w:szCs w:val="24"/>
        </w:rPr>
        <w:t xml:space="preserve"> divenne un convinto sostenitore</w:t>
      </w:r>
      <w:r w:rsidR="00C947BB" w:rsidRPr="00515E8F">
        <w:rPr>
          <w:rFonts w:ascii="Times New Roman" w:hAnsi="Times New Roman"/>
          <w:sz w:val="24"/>
          <w:szCs w:val="24"/>
        </w:rPr>
        <w:t xml:space="preserve"> del Dualism</w:t>
      </w:r>
      <w:r w:rsidR="00C947BB">
        <w:rPr>
          <w:rFonts w:ascii="Times New Roman" w:hAnsi="Times New Roman"/>
          <w:sz w:val="24"/>
          <w:szCs w:val="24"/>
        </w:rPr>
        <w:t>o, p</w:t>
      </w:r>
      <w:r w:rsidR="00DE7B4C">
        <w:rPr>
          <w:rFonts w:ascii="Times New Roman" w:hAnsi="Times New Roman"/>
          <w:sz w:val="24"/>
          <w:szCs w:val="24"/>
        </w:rPr>
        <w:t>erché</w:t>
      </w:r>
      <w:r w:rsidR="00AA3DD9">
        <w:rPr>
          <w:rFonts w:ascii="Times New Roman" w:hAnsi="Times New Roman"/>
          <w:sz w:val="24"/>
          <w:szCs w:val="24"/>
        </w:rPr>
        <w:t xml:space="preserve"> temeva più </w:t>
      </w:r>
      <w:commentRangeStart w:id="88"/>
      <w:commentRangeStart w:id="89"/>
      <w:r w:rsidR="00AA3DD9">
        <w:rPr>
          <w:rFonts w:ascii="Times New Roman" w:hAnsi="Times New Roman"/>
          <w:sz w:val="24"/>
          <w:szCs w:val="24"/>
        </w:rPr>
        <w:t>le</w:t>
      </w:r>
      <w:r w:rsidR="00174CC1">
        <w:rPr>
          <w:rFonts w:ascii="Times New Roman" w:hAnsi="Times New Roman"/>
          <w:sz w:val="24"/>
          <w:szCs w:val="24"/>
        </w:rPr>
        <w:t xml:space="preserve"> altre</w:t>
      </w:r>
      <w:r w:rsidR="00AA3DD9">
        <w:rPr>
          <w:rFonts w:ascii="Times New Roman" w:hAnsi="Times New Roman"/>
          <w:sz w:val="24"/>
          <w:szCs w:val="24"/>
        </w:rPr>
        <w:t xml:space="preserve"> nazionalità</w:t>
      </w:r>
      <w:r w:rsidR="00C947BB" w:rsidRPr="00515E8F">
        <w:rPr>
          <w:rFonts w:ascii="Times New Roman" w:hAnsi="Times New Roman"/>
          <w:sz w:val="24"/>
          <w:szCs w:val="24"/>
        </w:rPr>
        <w:t xml:space="preserve"> </w:t>
      </w:r>
      <w:commentRangeEnd w:id="88"/>
      <w:r w:rsidR="00711010">
        <w:rPr>
          <w:rStyle w:val="Rimandocommento"/>
        </w:rPr>
        <w:commentReference w:id="88"/>
      </w:r>
      <w:commentRangeEnd w:id="89"/>
      <w:r w:rsidR="007772DE">
        <w:rPr>
          <w:rStyle w:val="Rimandocommento"/>
        </w:rPr>
        <w:commentReference w:id="89"/>
      </w:r>
      <w:r w:rsidR="007F593C">
        <w:rPr>
          <w:rFonts w:ascii="Times New Roman" w:hAnsi="Times New Roman"/>
          <w:sz w:val="24"/>
          <w:szCs w:val="24"/>
        </w:rPr>
        <w:t xml:space="preserve">che </w:t>
      </w:r>
      <w:r w:rsidR="00C947BB" w:rsidRPr="00515E8F">
        <w:rPr>
          <w:rFonts w:ascii="Times New Roman" w:hAnsi="Times New Roman"/>
          <w:sz w:val="24"/>
          <w:szCs w:val="24"/>
        </w:rPr>
        <w:t>gli Asburgo ed era maggiormente incline ad accett</w:t>
      </w:r>
      <w:r w:rsidR="00C947BB">
        <w:rPr>
          <w:rFonts w:ascii="Times New Roman" w:hAnsi="Times New Roman"/>
          <w:sz w:val="24"/>
          <w:szCs w:val="24"/>
        </w:rPr>
        <w:t>are la protezione dei</w:t>
      </w:r>
      <w:r w:rsidR="007F593C">
        <w:rPr>
          <w:rFonts w:ascii="Times New Roman" w:hAnsi="Times New Roman"/>
          <w:sz w:val="24"/>
          <w:szCs w:val="24"/>
        </w:rPr>
        <w:t xml:space="preserve"> tedeschi contro</w:t>
      </w:r>
      <w:r w:rsidR="00C947BB" w:rsidRPr="00515E8F">
        <w:rPr>
          <w:rFonts w:ascii="Times New Roman" w:hAnsi="Times New Roman"/>
          <w:sz w:val="24"/>
          <w:szCs w:val="24"/>
        </w:rPr>
        <w:t xml:space="preserve"> l’influ</w:t>
      </w:r>
      <w:r w:rsidR="007F593C">
        <w:rPr>
          <w:rFonts w:ascii="Times New Roman" w:hAnsi="Times New Roman"/>
          <w:sz w:val="24"/>
          <w:szCs w:val="24"/>
        </w:rPr>
        <w:t>enza russa e la</w:t>
      </w:r>
      <w:r w:rsidR="00C947BB" w:rsidRPr="00515E8F">
        <w:rPr>
          <w:rFonts w:ascii="Times New Roman" w:hAnsi="Times New Roman"/>
          <w:sz w:val="24"/>
          <w:szCs w:val="24"/>
        </w:rPr>
        <w:t xml:space="preserve"> possibile affermazione del panslavismo fra i sudditi croati, serbi, slovacchi e rut</w:t>
      </w:r>
      <w:r w:rsidR="00C947BB">
        <w:rPr>
          <w:rFonts w:ascii="Times New Roman" w:hAnsi="Times New Roman"/>
          <w:sz w:val="24"/>
          <w:szCs w:val="24"/>
        </w:rPr>
        <w:t>eni del regno d’Ungheria</w:t>
      </w:r>
      <w:r w:rsidR="00D34AE2">
        <w:rPr>
          <w:rFonts w:ascii="Times New Roman" w:hAnsi="Times New Roman"/>
          <w:sz w:val="24"/>
          <w:szCs w:val="24"/>
        </w:rPr>
        <w:t>.</w:t>
      </w:r>
      <w:r w:rsidR="00AA76AD">
        <w:rPr>
          <w:rFonts w:ascii="Times New Roman" w:hAnsi="Times New Roman"/>
          <w:sz w:val="24"/>
          <w:szCs w:val="24"/>
        </w:rPr>
        <w:t xml:space="preserve"> </w:t>
      </w:r>
      <w:r w:rsidR="00C947BB" w:rsidRPr="00515E8F">
        <w:rPr>
          <w:rFonts w:ascii="Times New Roman" w:hAnsi="Times New Roman"/>
          <w:sz w:val="24"/>
          <w:szCs w:val="24"/>
        </w:rPr>
        <w:t xml:space="preserve">Fra le file dei </w:t>
      </w:r>
      <w:r w:rsidR="00C947BB" w:rsidRPr="00D34AE2">
        <w:rPr>
          <w:rFonts w:ascii="Times New Roman" w:hAnsi="Times New Roman"/>
          <w:i/>
          <w:sz w:val="24"/>
          <w:szCs w:val="24"/>
        </w:rPr>
        <w:t>deákisti</w:t>
      </w:r>
      <w:r w:rsidR="00D34AE2">
        <w:rPr>
          <w:rFonts w:ascii="Times New Roman" w:hAnsi="Times New Roman"/>
          <w:sz w:val="24"/>
          <w:szCs w:val="24"/>
        </w:rPr>
        <w:t xml:space="preserve"> condivideva pienamente questa</w:t>
      </w:r>
      <w:r w:rsidR="00C947BB" w:rsidRPr="00515E8F">
        <w:rPr>
          <w:rFonts w:ascii="Times New Roman" w:hAnsi="Times New Roman"/>
          <w:sz w:val="24"/>
          <w:szCs w:val="24"/>
        </w:rPr>
        <w:t xml:space="preserve"> v</w:t>
      </w:r>
      <w:r w:rsidR="001851D7">
        <w:rPr>
          <w:rFonts w:ascii="Times New Roman" w:hAnsi="Times New Roman"/>
          <w:sz w:val="24"/>
          <w:szCs w:val="24"/>
        </w:rPr>
        <w:t>isione il primo p</w:t>
      </w:r>
      <w:r w:rsidR="00C947BB">
        <w:rPr>
          <w:rFonts w:ascii="Times New Roman" w:hAnsi="Times New Roman"/>
          <w:sz w:val="24"/>
          <w:szCs w:val="24"/>
        </w:rPr>
        <w:t>residente del C</w:t>
      </w:r>
      <w:r w:rsidR="00C947BB" w:rsidRPr="00515E8F">
        <w:rPr>
          <w:rFonts w:ascii="Times New Roman" w:hAnsi="Times New Roman"/>
          <w:sz w:val="24"/>
          <w:szCs w:val="24"/>
        </w:rPr>
        <w:t>onsiglio della nuova Ungheria dualist</w:t>
      </w:r>
      <w:r w:rsidR="00174CC1">
        <w:rPr>
          <w:rFonts w:ascii="Times New Roman" w:hAnsi="Times New Roman"/>
          <w:sz w:val="24"/>
          <w:szCs w:val="24"/>
        </w:rPr>
        <w:t>ica</w:t>
      </w:r>
      <w:r w:rsidR="00B1467E">
        <w:rPr>
          <w:rFonts w:ascii="Times New Roman" w:hAnsi="Times New Roman"/>
          <w:sz w:val="24"/>
          <w:szCs w:val="24"/>
        </w:rPr>
        <w:t>,</w:t>
      </w:r>
      <w:r w:rsidR="00C947BB" w:rsidRPr="00515E8F">
        <w:rPr>
          <w:rFonts w:ascii="Times New Roman" w:hAnsi="Times New Roman"/>
          <w:sz w:val="24"/>
          <w:szCs w:val="24"/>
        </w:rPr>
        <w:t xml:space="preserve"> il conte Gyula A</w:t>
      </w:r>
      <w:r w:rsidR="00C947BB">
        <w:rPr>
          <w:rFonts w:ascii="Times New Roman" w:hAnsi="Times New Roman"/>
          <w:sz w:val="24"/>
          <w:szCs w:val="24"/>
        </w:rPr>
        <w:t>ndrássy il vecchio.</w:t>
      </w:r>
      <w:r w:rsidR="00C947BB" w:rsidRPr="00515E8F">
        <w:rPr>
          <w:rFonts w:ascii="Times New Roman" w:hAnsi="Times New Roman"/>
          <w:sz w:val="24"/>
          <w:szCs w:val="24"/>
        </w:rPr>
        <w:t xml:space="preserve"> </w:t>
      </w:r>
      <w:r w:rsidR="00C947BB">
        <w:rPr>
          <w:rFonts w:ascii="Times New Roman" w:hAnsi="Times New Roman"/>
          <w:sz w:val="24"/>
          <w:szCs w:val="24"/>
        </w:rPr>
        <w:t xml:space="preserve">Nel nuovo ruolo di </w:t>
      </w:r>
      <w:r w:rsidR="003C44EA">
        <w:rPr>
          <w:rFonts w:ascii="Times New Roman" w:hAnsi="Times New Roman"/>
          <w:sz w:val="24"/>
          <w:szCs w:val="24"/>
        </w:rPr>
        <w:t>m</w:t>
      </w:r>
      <w:r w:rsidR="00B1467E">
        <w:rPr>
          <w:rFonts w:ascii="Times New Roman" w:hAnsi="Times New Roman"/>
          <w:sz w:val="24"/>
          <w:szCs w:val="24"/>
        </w:rPr>
        <w:t>inistro comune degli Esteri</w:t>
      </w:r>
      <w:r w:rsidR="00BB2464">
        <w:rPr>
          <w:rFonts w:ascii="Times New Roman" w:hAnsi="Times New Roman"/>
          <w:sz w:val="24"/>
          <w:szCs w:val="24"/>
        </w:rPr>
        <w:t>, dicastero c</w:t>
      </w:r>
      <w:r w:rsidR="00C947BB" w:rsidRPr="00515E8F">
        <w:rPr>
          <w:rFonts w:ascii="Times New Roman" w:hAnsi="Times New Roman"/>
          <w:sz w:val="24"/>
          <w:szCs w:val="24"/>
        </w:rPr>
        <w:t>he occupò dal 1871 al 1879,</w:t>
      </w:r>
      <w:r w:rsidR="000D53DC">
        <w:rPr>
          <w:rFonts w:ascii="Times New Roman" w:hAnsi="Times New Roman"/>
          <w:sz w:val="24"/>
          <w:szCs w:val="24"/>
        </w:rPr>
        <w:t xml:space="preserve"> egli</w:t>
      </w:r>
      <w:r w:rsidR="00C947BB" w:rsidRPr="00515E8F">
        <w:rPr>
          <w:rFonts w:ascii="Times New Roman" w:hAnsi="Times New Roman"/>
          <w:sz w:val="24"/>
          <w:szCs w:val="24"/>
        </w:rPr>
        <w:t xml:space="preserve"> si dedicò a trasformare in politica coerente le sue simpatie per la</w:t>
      </w:r>
      <w:r w:rsidR="00C947BB">
        <w:rPr>
          <w:rFonts w:ascii="Times New Roman" w:hAnsi="Times New Roman"/>
          <w:sz w:val="24"/>
          <w:szCs w:val="24"/>
        </w:rPr>
        <w:t xml:space="preserve"> nuova</w:t>
      </w:r>
      <w:r w:rsidR="00C947BB" w:rsidRPr="00515E8F">
        <w:rPr>
          <w:rFonts w:ascii="Times New Roman" w:hAnsi="Times New Roman"/>
          <w:sz w:val="24"/>
          <w:szCs w:val="24"/>
        </w:rPr>
        <w:t xml:space="preserve"> Germania</w:t>
      </w:r>
      <w:r w:rsidR="00C947BB">
        <w:rPr>
          <w:rFonts w:ascii="Times New Roman" w:hAnsi="Times New Roman"/>
          <w:sz w:val="24"/>
          <w:szCs w:val="24"/>
        </w:rPr>
        <w:t xml:space="preserve"> imperiale</w:t>
      </w:r>
      <w:r w:rsidR="00C947BB" w:rsidRPr="00515E8F">
        <w:rPr>
          <w:rFonts w:ascii="Times New Roman" w:hAnsi="Times New Roman"/>
          <w:sz w:val="24"/>
          <w:szCs w:val="24"/>
        </w:rPr>
        <w:t xml:space="preserve">, </w:t>
      </w:r>
      <w:r w:rsidR="000D53DC">
        <w:rPr>
          <w:rFonts w:ascii="Times New Roman" w:hAnsi="Times New Roman"/>
          <w:sz w:val="24"/>
          <w:szCs w:val="24"/>
        </w:rPr>
        <w:t>l’avversione per l’Impero degli Z</w:t>
      </w:r>
      <w:r w:rsidR="00C947BB">
        <w:rPr>
          <w:rFonts w:ascii="Times New Roman" w:hAnsi="Times New Roman"/>
          <w:sz w:val="24"/>
          <w:szCs w:val="24"/>
        </w:rPr>
        <w:t>ar</w:t>
      </w:r>
      <w:r w:rsidR="00C947BB" w:rsidRPr="00515E8F">
        <w:rPr>
          <w:rFonts w:ascii="Times New Roman" w:hAnsi="Times New Roman"/>
          <w:sz w:val="24"/>
          <w:szCs w:val="24"/>
        </w:rPr>
        <w:t xml:space="preserve"> e il des</w:t>
      </w:r>
      <w:r w:rsidR="000D53DC">
        <w:rPr>
          <w:rFonts w:ascii="Times New Roman" w:hAnsi="Times New Roman"/>
          <w:sz w:val="24"/>
          <w:szCs w:val="24"/>
        </w:rPr>
        <w:t>iderio di veder sopravvivere l’I</w:t>
      </w:r>
      <w:r w:rsidR="00C947BB" w:rsidRPr="00515E8F">
        <w:rPr>
          <w:rFonts w:ascii="Times New Roman" w:hAnsi="Times New Roman"/>
          <w:sz w:val="24"/>
          <w:szCs w:val="24"/>
        </w:rPr>
        <w:t>mpero ottomano</w:t>
      </w:r>
      <w:r w:rsidR="00856E0A">
        <w:rPr>
          <w:rStyle w:val="Rimandonotaapidipagina"/>
          <w:rFonts w:ascii="Times New Roman" w:hAnsi="Times New Roman"/>
          <w:sz w:val="24"/>
          <w:szCs w:val="24"/>
        </w:rPr>
        <w:footnoteReference w:id="54"/>
      </w:r>
      <w:r w:rsidR="00000DCA">
        <w:rPr>
          <w:rFonts w:ascii="Times New Roman" w:hAnsi="Times New Roman"/>
          <w:sz w:val="24"/>
          <w:szCs w:val="24"/>
        </w:rPr>
        <w:t xml:space="preserve">. </w:t>
      </w:r>
    </w:p>
    <w:p w14:paraId="10994B59" w14:textId="4B7A7ADC" w:rsidR="00C947BB" w:rsidRDefault="00000DCA" w:rsidP="00000DCA">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L’opera del conte</w:t>
      </w:r>
      <w:r w:rsidR="00C947BB" w:rsidRPr="00515E8F">
        <w:rPr>
          <w:rFonts w:ascii="Times New Roman" w:hAnsi="Times New Roman"/>
          <w:sz w:val="24"/>
          <w:szCs w:val="24"/>
        </w:rPr>
        <w:t xml:space="preserve"> Andrássy si rivelò ben più vincolante ed efficace per il successivo corso storico </w:t>
      </w:r>
      <w:r w:rsidR="00BB2464" w:rsidRPr="00BB2464">
        <w:rPr>
          <w:rFonts w:ascii="Times New Roman" w:hAnsi="Times New Roman"/>
          <w:sz w:val="24"/>
          <w:szCs w:val="24"/>
        </w:rPr>
        <w:t>dualistico</w:t>
      </w:r>
      <w:r w:rsidR="00C947BB" w:rsidRPr="00515E8F">
        <w:rPr>
          <w:rFonts w:ascii="Times New Roman" w:hAnsi="Times New Roman"/>
          <w:sz w:val="24"/>
          <w:szCs w:val="24"/>
        </w:rPr>
        <w:t xml:space="preserve"> di quanto lo fossero le basi legali e politiche p</w:t>
      </w:r>
      <w:r w:rsidR="00C947BB">
        <w:rPr>
          <w:rFonts w:ascii="Times New Roman" w:hAnsi="Times New Roman"/>
          <w:sz w:val="24"/>
          <w:szCs w:val="24"/>
        </w:rPr>
        <w:t>oste da</w:t>
      </w:r>
      <w:r w:rsidR="00A84108">
        <w:rPr>
          <w:rFonts w:ascii="Times New Roman" w:hAnsi="Times New Roman"/>
          <w:sz w:val="24"/>
          <w:szCs w:val="24"/>
        </w:rPr>
        <w:t xml:space="preserve"> Deák. La Germania imperiale </w:t>
      </w:r>
      <w:r w:rsidR="00C947BB" w:rsidRPr="00515E8F">
        <w:rPr>
          <w:rFonts w:ascii="Times New Roman" w:hAnsi="Times New Roman"/>
          <w:sz w:val="24"/>
          <w:szCs w:val="24"/>
        </w:rPr>
        <w:t>si prese</w:t>
      </w:r>
      <w:r w:rsidR="00C947BB">
        <w:rPr>
          <w:rFonts w:ascii="Times New Roman" w:hAnsi="Times New Roman"/>
          <w:sz w:val="24"/>
          <w:szCs w:val="24"/>
        </w:rPr>
        <w:t xml:space="preserve">ntava come garante </w:t>
      </w:r>
      <w:r w:rsidR="00C947BB" w:rsidRPr="00515E8F">
        <w:rPr>
          <w:rFonts w:ascii="Times New Roman" w:hAnsi="Times New Roman"/>
          <w:sz w:val="24"/>
          <w:szCs w:val="24"/>
        </w:rPr>
        <w:t>degli equilibri europei: un ruolo assunt</w:t>
      </w:r>
      <w:r w:rsidR="00A47A14">
        <w:rPr>
          <w:rFonts w:ascii="Times New Roman" w:hAnsi="Times New Roman"/>
          <w:sz w:val="24"/>
          <w:szCs w:val="24"/>
        </w:rPr>
        <w:t xml:space="preserve">o con autorevolezza nella </w:t>
      </w:r>
      <w:r w:rsidR="00C947BB" w:rsidRPr="00515E8F">
        <w:rPr>
          <w:rFonts w:ascii="Times New Roman" w:hAnsi="Times New Roman"/>
          <w:sz w:val="24"/>
          <w:szCs w:val="24"/>
        </w:rPr>
        <w:t>grande crisi bal</w:t>
      </w:r>
      <w:r w:rsidR="00BB2464">
        <w:rPr>
          <w:rFonts w:ascii="Times New Roman" w:hAnsi="Times New Roman"/>
          <w:sz w:val="24"/>
          <w:szCs w:val="24"/>
        </w:rPr>
        <w:t>cani</w:t>
      </w:r>
      <w:r w:rsidR="00254B7C">
        <w:rPr>
          <w:rFonts w:ascii="Times New Roman" w:hAnsi="Times New Roman"/>
          <w:sz w:val="24"/>
          <w:szCs w:val="24"/>
        </w:rPr>
        <w:t xml:space="preserve">ca </w:t>
      </w:r>
      <w:r w:rsidR="00A47A14">
        <w:rPr>
          <w:rFonts w:ascii="Times New Roman" w:hAnsi="Times New Roman"/>
          <w:sz w:val="24"/>
          <w:szCs w:val="24"/>
        </w:rPr>
        <w:t>del 1875-</w:t>
      </w:r>
      <w:r w:rsidR="00A434B8">
        <w:rPr>
          <w:rFonts w:ascii="Times New Roman" w:hAnsi="Times New Roman"/>
          <w:sz w:val="24"/>
          <w:szCs w:val="24"/>
        </w:rPr>
        <w:t>1878, culminata con il primo C</w:t>
      </w:r>
      <w:r w:rsidR="00C947BB" w:rsidRPr="00515E8F">
        <w:rPr>
          <w:rFonts w:ascii="Times New Roman" w:hAnsi="Times New Roman"/>
          <w:sz w:val="24"/>
          <w:szCs w:val="24"/>
        </w:rPr>
        <w:t>ongresso di Berlino. Per gli ung</w:t>
      </w:r>
      <w:r w:rsidR="008B5F5D">
        <w:rPr>
          <w:rFonts w:ascii="Times New Roman" w:hAnsi="Times New Roman"/>
          <w:sz w:val="24"/>
          <w:szCs w:val="24"/>
        </w:rPr>
        <w:t>heresi</w:t>
      </w:r>
      <w:r w:rsidR="00C947BB" w:rsidRPr="00515E8F">
        <w:rPr>
          <w:rFonts w:ascii="Times New Roman" w:hAnsi="Times New Roman"/>
          <w:sz w:val="24"/>
          <w:szCs w:val="24"/>
        </w:rPr>
        <w:t xml:space="preserve"> il sistema di Bismarck serviva a tenere a bada </w:t>
      </w:r>
      <w:r w:rsidR="00BE702E">
        <w:rPr>
          <w:rFonts w:ascii="Times New Roman" w:hAnsi="Times New Roman"/>
          <w:sz w:val="24"/>
          <w:szCs w:val="24"/>
        </w:rPr>
        <w:t>le ambizioni russe favorendo al</w:t>
      </w:r>
      <w:r w:rsidR="00C947BB" w:rsidRPr="00515E8F">
        <w:rPr>
          <w:rFonts w:ascii="Times New Roman" w:hAnsi="Times New Roman"/>
          <w:sz w:val="24"/>
          <w:szCs w:val="24"/>
        </w:rPr>
        <w:t xml:space="preserve"> contempo la pace nei Balcani, anche accettando un pa</w:t>
      </w:r>
      <w:r w:rsidR="00A434B8">
        <w:rPr>
          <w:rFonts w:ascii="Times New Roman" w:hAnsi="Times New Roman"/>
          <w:sz w:val="24"/>
          <w:szCs w:val="24"/>
        </w:rPr>
        <w:t>rziale trionfo del principio d’autodeterminazione nazionale.</w:t>
      </w:r>
      <w:r w:rsidR="00B5020E">
        <w:rPr>
          <w:rFonts w:ascii="Times New Roman" w:hAnsi="Times New Roman"/>
          <w:sz w:val="24"/>
          <w:szCs w:val="24"/>
        </w:rPr>
        <w:t xml:space="preserve"> </w:t>
      </w:r>
      <w:r w:rsidR="00103914">
        <w:rPr>
          <w:rFonts w:ascii="Times New Roman" w:hAnsi="Times New Roman"/>
          <w:sz w:val="24"/>
          <w:szCs w:val="24"/>
        </w:rPr>
        <w:t xml:space="preserve">Col tempo il </w:t>
      </w:r>
      <w:r w:rsidR="00A434B8">
        <w:rPr>
          <w:rFonts w:ascii="Times New Roman" w:hAnsi="Times New Roman"/>
          <w:sz w:val="24"/>
          <w:szCs w:val="24"/>
        </w:rPr>
        <w:t>potere militare dell’I</w:t>
      </w:r>
      <w:r w:rsidR="00C947BB">
        <w:rPr>
          <w:rFonts w:ascii="Times New Roman" w:hAnsi="Times New Roman"/>
          <w:sz w:val="24"/>
          <w:szCs w:val="24"/>
        </w:rPr>
        <w:t>mpero guglielmino,</w:t>
      </w:r>
      <w:r w:rsidR="00BB4F92">
        <w:rPr>
          <w:rFonts w:ascii="Times New Roman" w:hAnsi="Times New Roman"/>
          <w:sz w:val="24"/>
          <w:szCs w:val="24"/>
        </w:rPr>
        <w:t xml:space="preserve"> sostenuto da un </w:t>
      </w:r>
      <w:r w:rsidR="00C947BB" w:rsidRPr="00515E8F">
        <w:rPr>
          <w:rFonts w:ascii="Times New Roman" w:hAnsi="Times New Roman"/>
          <w:sz w:val="24"/>
          <w:szCs w:val="24"/>
        </w:rPr>
        <w:t>imponente sviluppo ind</w:t>
      </w:r>
      <w:r w:rsidR="00C947BB">
        <w:rPr>
          <w:rFonts w:ascii="Times New Roman" w:hAnsi="Times New Roman"/>
          <w:sz w:val="24"/>
          <w:szCs w:val="24"/>
        </w:rPr>
        <w:t>ustriale</w:t>
      </w:r>
      <w:r w:rsidR="00C947BB" w:rsidRPr="00515E8F">
        <w:rPr>
          <w:rFonts w:ascii="Times New Roman" w:hAnsi="Times New Roman"/>
          <w:sz w:val="24"/>
          <w:szCs w:val="24"/>
        </w:rPr>
        <w:t>, mise in secondo piano un equilibrio fondato sul mutuo consenso delle Grandi Potenze, aprendo la strada alla logica dei blocchi d</w:t>
      </w:r>
      <w:r w:rsidR="00C947BB">
        <w:rPr>
          <w:rFonts w:ascii="Times New Roman" w:hAnsi="Times New Roman"/>
          <w:sz w:val="24"/>
          <w:szCs w:val="24"/>
        </w:rPr>
        <w:t>i alleanze</w:t>
      </w:r>
      <w:r w:rsidR="00C947BB" w:rsidRPr="00515E8F">
        <w:rPr>
          <w:rFonts w:ascii="Times New Roman" w:hAnsi="Times New Roman"/>
          <w:sz w:val="24"/>
          <w:szCs w:val="24"/>
        </w:rPr>
        <w:t xml:space="preserve">. Non a caso la Triplice Alleanza divenne nel 1882 il sostituto naturale del </w:t>
      </w:r>
      <w:r w:rsidR="00C947BB" w:rsidRPr="00515E8F">
        <w:rPr>
          <w:rFonts w:ascii="Times New Roman" w:hAnsi="Times New Roman"/>
          <w:i/>
          <w:sz w:val="24"/>
          <w:szCs w:val="24"/>
        </w:rPr>
        <w:t>Dreikaiserbund</w:t>
      </w:r>
      <w:r w:rsidR="00C947BB" w:rsidRPr="00515E8F">
        <w:rPr>
          <w:rFonts w:ascii="Times New Roman" w:hAnsi="Times New Roman"/>
          <w:sz w:val="24"/>
          <w:szCs w:val="24"/>
        </w:rPr>
        <w:t>, non rinnovato a partire dal 1879</w:t>
      </w:r>
      <w:r w:rsidR="00C947BB">
        <w:rPr>
          <w:rStyle w:val="Rimandonotaapidipagina"/>
          <w:rFonts w:ascii="Times New Roman" w:hAnsi="Times New Roman"/>
          <w:sz w:val="24"/>
          <w:szCs w:val="24"/>
        </w:rPr>
        <w:footnoteReference w:id="55"/>
      </w:r>
      <w:r w:rsidR="00A434B8">
        <w:rPr>
          <w:rFonts w:ascii="Times New Roman" w:hAnsi="Times New Roman"/>
          <w:sz w:val="24"/>
          <w:szCs w:val="24"/>
        </w:rPr>
        <w:t>. L’I</w:t>
      </w:r>
      <w:r w:rsidR="008B5F5D">
        <w:rPr>
          <w:rFonts w:ascii="Times New Roman" w:hAnsi="Times New Roman"/>
          <w:sz w:val="24"/>
          <w:szCs w:val="24"/>
        </w:rPr>
        <w:t xml:space="preserve">mperatore Francesco Giuseppe I, </w:t>
      </w:r>
      <w:r w:rsidR="00C947BB" w:rsidRPr="00515E8F">
        <w:rPr>
          <w:rFonts w:ascii="Times New Roman" w:hAnsi="Times New Roman"/>
          <w:sz w:val="24"/>
          <w:szCs w:val="24"/>
        </w:rPr>
        <w:t xml:space="preserve">che il compromesso e la successiva incoronazione a </w:t>
      </w:r>
      <w:commentRangeStart w:id="90"/>
      <w:commentRangeStart w:id="91"/>
      <w:r w:rsidR="00C947BB" w:rsidRPr="00515E8F">
        <w:rPr>
          <w:rFonts w:ascii="Times New Roman" w:hAnsi="Times New Roman"/>
          <w:sz w:val="24"/>
          <w:szCs w:val="24"/>
        </w:rPr>
        <w:t>Buda</w:t>
      </w:r>
      <w:commentRangeEnd w:id="90"/>
      <w:r w:rsidR="000007D1">
        <w:rPr>
          <w:rStyle w:val="Rimandocommento"/>
        </w:rPr>
        <w:commentReference w:id="90"/>
      </w:r>
      <w:commentRangeEnd w:id="91"/>
      <w:r w:rsidR="00197D1B">
        <w:rPr>
          <w:rStyle w:val="Rimandocommento"/>
        </w:rPr>
        <w:commentReference w:id="91"/>
      </w:r>
      <w:r w:rsidR="00C947BB" w:rsidRPr="00515E8F">
        <w:rPr>
          <w:rFonts w:ascii="Times New Roman" w:hAnsi="Times New Roman"/>
          <w:sz w:val="24"/>
          <w:szCs w:val="24"/>
        </w:rPr>
        <w:t xml:space="preserve"> trasformarono nel</w:t>
      </w:r>
      <w:r w:rsidR="00103914">
        <w:rPr>
          <w:rFonts w:ascii="Times New Roman" w:hAnsi="Times New Roman"/>
          <w:sz w:val="24"/>
          <w:szCs w:val="24"/>
        </w:rPr>
        <w:t xml:space="preserve"> sovrano costituzionale</w:t>
      </w:r>
      <w:r w:rsidR="00C947BB" w:rsidRPr="00515E8F">
        <w:rPr>
          <w:rFonts w:ascii="Times New Roman" w:hAnsi="Times New Roman"/>
          <w:sz w:val="24"/>
          <w:szCs w:val="24"/>
        </w:rPr>
        <w:t xml:space="preserve"> del regno di Santo Stefano</w:t>
      </w:r>
      <w:r w:rsidR="00A434B8">
        <w:rPr>
          <w:rFonts w:ascii="Times New Roman" w:hAnsi="Times New Roman"/>
          <w:sz w:val="24"/>
          <w:szCs w:val="24"/>
        </w:rPr>
        <w:t>,</w:t>
      </w:r>
      <w:r w:rsidR="00C947BB" w:rsidRPr="00515E8F">
        <w:rPr>
          <w:rFonts w:ascii="Times New Roman" w:hAnsi="Times New Roman"/>
          <w:sz w:val="24"/>
          <w:szCs w:val="24"/>
        </w:rPr>
        <w:t xml:space="preserve"> si considerò </w:t>
      </w:r>
      <w:r w:rsidR="00A434B8">
        <w:rPr>
          <w:rFonts w:ascii="Times New Roman" w:hAnsi="Times New Roman"/>
          <w:sz w:val="24"/>
          <w:szCs w:val="24"/>
        </w:rPr>
        <w:t>da allora</w:t>
      </w:r>
      <w:r w:rsidR="001844A5">
        <w:rPr>
          <w:rFonts w:ascii="Times New Roman" w:hAnsi="Times New Roman"/>
          <w:sz w:val="24"/>
          <w:szCs w:val="24"/>
        </w:rPr>
        <w:t xml:space="preserve"> il supremo garante del sistema dualistico</w:t>
      </w:r>
      <w:r w:rsidR="002D7191">
        <w:rPr>
          <w:rFonts w:ascii="Times New Roman" w:hAnsi="Times New Roman"/>
          <w:sz w:val="24"/>
          <w:szCs w:val="24"/>
        </w:rPr>
        <w:t>.</w:t>
      </w:r>
    </w:p>
    <w:p w14:paraId="1AB79CD7" w14:textId="77777777" w:rsidR="00D81245" w:rsidRDefault="00D81245" w:rsidP="00CE424A">
      <w:pPr>
        <w:pStyle w:val="Testonotaapidipagina"/>
        <w:spacing w:before="100" w:beforeAutospacing="1" w:after="100" w:afterAutospacing="1" w:line="360" w:lineRule="auto"/>
        <w:ind w:right="567"/>
        <w:jc w:val="both"/>
        <w:rPr>
          <w:rFonts w:ascii="Times New Roman" w:hAnsi="Times New Roman"/>
          <w:i/>
          <w:sz w:val="24"/>
          <w:szCs w:val="24"/>
        </w:rPr>
      </w:pPr>
    </w:p>
    <w:p w14:paraId="1108B58E" w14:textId="77777777" w:rsidR="00D81245" w:rsidRDefault="00D81245" w:rsidP="00CE424A">
      <w:pPr>
        <w:pStyle w:val="Testonotaapidipagina"/>
        <w:spacing w:before="100" w:beforeAutospacing="1" w:after="100" w:afterAutospacing="1" w:line="360" w:lineRule="auto"/>
        <w:ind w:right="567"/>
        <w:jc w:val="both"/>
        <w:rPr>
          <w:rFonts w:ascii="Times New Roman" w:hAnsi="Times New Roman"/>
          <w:i/>
          <w:sz w:val="24"/>
          <w:szCs w:val="24"/>
        </w:rPr>
      </w:pPr>
    </w:p>
    <w:p w14:paraId="5567467D" w14:textId="77777777" w:rsidR="00CE424A" w:rsidRDefault="00CE424A" w:rsidP="00CE424A">
      <w:pPr>
        <w:pStyle w:val="Testonotaapidipagina"/>
        <w:spacing w:before="100" w:beforeAutospacing="1" w:after="100" w:afterAutospacing="1" w:line="360" w:lineRule="auto"/>
        <w:ind w:right="567"/>
        <w:jc w:val="both"/>
        <w:rPr>
          <w:rFonts w:ascii="Times New Roman" w:hAnsi="Times New Roman"/>
          <w:i/>
          <w:sz w:val="24"/>
          <w:szCs w:val="24"/>
        </w:rPr>
      </w:pPr>
      <w:r>
        <w:rPr>
          <w:rFonts w:ascii="Times New Roman" w:hAnsi="Times New Roman"/>
          <w:i/>
          <w:sz w:val="24"/>
          <w:szCs w:val="24"/>
        </w:rPr>
        <w:t>La Duplice Monarchia (1868-1914)</w:t>
      </w:r>
    </w:p>
    <w:p w14:paraId="2E7F6204" w14:textId="5EE1A718" w:rsidR="00D849B6" w:rsidRPr="00CE424A" w:rsidRDefault="00C947BB" w:rsidP="00CE424A">
      <w:pPr>
        <w:pStyle w:val="Testonotaapidipagina"/>
        <w:spacing w:before="100" w:beforeAutospacing="1" w:after="100" w:afterAutospacing="1" w:line="360" w:lineRule="auto"/>
        <w:ind w:right="567"/>
        <w:jc w:val="both"/>
        <w:rPr>
          <w:rFonts w:ascii="Times New Roman" w:hAnsi="Times New Roman"/>
          <w:i/>
          <w:sz w:val="24"/>
          <w:szCs w:val="24"/>
        </w:rPr>
      </w:pPr>
      <w:r w:rsidRPr="006A0750">
        <w:rPr>
          <w:rFonts w:ascii="Times New Roman" w:hAnsi="Times New Roman"/>
          <w:sz w:val="24"/>
          <w:szCs w:val="24"/>
        </w:rPr>
        <w:t>L’Austria-Ung</w:t>
      </w:r>
      <w:r>
        <w:rPr>
          <w:rFonts w:ascii="Times New Roman" w:hAnsi="Times New Roman"/>
          <w:sz w:val="24"/>
          <w:szCs w:val="24"/>
        </w:rPr>
        <w:t>heria nacque con gli accordi del 1867, divenuti Legge XII/1867 ne</w:t>
      </w:r>
      <w:r w:rsidR="005A0BB0">
        <w:rPr>
          <w:rFonts w:ascii="Times New Roman" w:hAnsi="Times New Roman"/>
          <w:sz w:val="24"/>
          <w:szCs w:val="24"/>
        </w:rPr>
        <w:t>i territori della corona ungherese</w:t>
      </w:r>
      <w:r w:rsidR="00034E7F">
        <w:rPr>
          <w:rStyle w:val="Rimandonotaapidipagina"/>
          <w:rFonts w:ascii="Times New Roman" w:hAnsi="Times New Roman"/>
          <w:sz w:val="24"/>
          <w:szCs w:val="24"/>
        </w:rPr>
        <w:footnoteReference w:id="56"/>
      </w:r>
      <w:r w:rsidR="00B073CE">
        <w:rPr>
          <w:rFonts w:ascii="Times New Roman" w:hAnsi="Times New Roman"/>
          <w:sz w:val="24"/>
          <w:szCs w:val="24"/>
        </w:rPr>
        <w:t>. Per effetto del ‘compromesso’</w:t>
      </w:r>
      <w:r w:rsidR="00B5020E">
        <w:rPr>
          <w:rFonts w:ascii="Times New Roman" w:hAnsi="Times New Roman"/>
          <w:sz w:val="24"/>
          <w:szCs w:val="24"/>
        </w:rPr>
        <w:t xml:space="preserve"> si formò</w:t>
      </w:r>
      <w:r>
        <w:rPr>
          <w:rFonts w:ascii="Times New Roman" w:hAnsi="Times New Roman"/>
          <w:sz w:val="24"/>
          <w:szCs w:val="24"/>
        </w:rPr>
        <w:t xml:space="preserve"> una struttura complessa, maggiormente composita nella parte austriaca </w:t>
      </w:r>
      <w:r w:rsidR="006008EF">
        <w:rPr>
          <w:rFonts w:ascii="Times New Roman" w:hAnsi="Times New Roman"/>
          <w:sz w:val="24"/>
          <w:szCs w:val="24"/>
        </w:rPr>
        <w:t>o Cisleithania,</w:t>
      </w:r>
      <w:r>
        <w:rPr>
          <w:rFonts w:ascii="Times New Roman" w:hAnsi="Times New Roman"/>
          <w:sz w:val="24"/>
          <w:szCs w:val="24"/>
        </w:rPr>
        <w:t xml:space="preserve"> più uniforme nella parte ungherese o Transleithania, in ragione della storica coesione dei territori del regno d’Ungheria. Austria</w:t>
      </w:r>
      <w:r w:rsidR="00CE4689">
        <w:rPr>
          <w:rFonts w:ascii="Times New Roman" w:hAnsi="Times New Roman"/>
          <w:sz w:val="24"/>
          <w:szCs w:val="24"/>
        </w:rPr>
        <w:t xml:space="preserve"> e Ungheria, entrambe dotate</w:t>
      </w:r>
      <w:r w:rsidR="007A5E19">
        <w:rPr>
          <w:rFonts w:ascii="Times New Roman" w:hAnsi="Times New Roman"/>
          <w:sz w:val="24"/>
          <w:szCs w:val="24"/>
        </w:rPr>
        <w:t xml:space="preserve"> di </w:t>
      </w:r>
      <w:r>
        <w:rPr>
          <w:rFonts w:ascii="Times New Roman" w:hAnsi="Times New Roman"/>
          <w:sz w:val="24"/>
          <w:szCs w:val="24"/>
        </w:rPr>
        <w:t>un Parlamento e un governo responsabil</w:t>
      </w:r>
      <w:r w:rsidR="00934FD9">
        <w:rPr>
          <w:rFonts w:ascii="Times New Roman" w:hAnsi="Times New Roman"/>
          <w:sz w:val="24"/>
          <w:szCs w:val="24"/>
        </w:rPr>
        <w:t>i</w:t>
      </w:r>
      <w:r w:rsidR="00CE4689">
        <w:rPr>
          <w:rFonts w:ascii="Times New Roman" w:hAnsi="Times New Roman"/>
          <w:sz w:val="24"/>
          <w:szCs w:val="24"/>
        </w:rPr>
        <w:t xml:space="preserve"> condividevano tre ministeri –</w:t>
      </w:r>
      <w:r>
        <w:rPr>
          <w:rFonts w:ascii="Times New Roman" w:hAnsi="Times New Roman"/>
          <w:sz w:val="24"/>
          <w:szCs w:val="24"/>
        </w:rPr>
        <w:t xml:space="preserve"> Finanze</w:t>
      </w:r>
      <w:r w:rsidR="00CE4689">
        <w:rPr>
          <w:rFonts w:ascii="Times New Roman" w:hAnsi="Times New Roman"/>
          <w:sz w:val="24"/>
          <w:szCs w:val="24"/>
        </w:rPr>
        <w:t>, Esteri e Guerra –</w:t>
      </w:r>
      <w:r>
        <w:rPr>
          <w:rFonts w:ascii="Times New Roman" w:hAnsi="Times New Roman"/>
          <w:sz w:val="24"/>
          <w:szCs w:val="24"/>
        </w:rPr>
        <w:t xml:space="preserve"> e un governo comune</w:t>
      </w:r>
      <w:r w:rsidR="00CE4689">
        <w:rPr>
          <w:rFonts w:ascii="Times New Roman" w:hAnsi="Times New Roman"/>
          <w:sz w:val="24"/>
          <w:szCs w:val="24"/>
        </w:rPr>
        <w:t>,</w:t>
      </w:r>
      <w:r>
        <w:rPr>
          <w:rFonts w:ascii="Times New Roman" w:hAnsi="Times New Roman"/>
          <w:sz w:val="24"/>
          <w:szCs w:val="24"/>
        </w:rPr>
        <w:t xml:space="preserve"> al quale partecipava in q</w:t>
      </w:r>
      <w:r w:rsidR="00B5020E">
        <w:rPr>
          <w:rFonts w:ascii="Times New Roman" w:hAnsi="Times New Roman"/>
          <w:sz w:val="24"/>
          <w:szCs w:val="24"/>
        </w:rPr>
        <w:t>ualità di supremo arbitro</w:t>
      </w:r>
      <w:r w:rsidR="00CE4689">
        <w:rPr>
          <w:rFonts w:ascii="Times New Roman" w:hAnsi="Times New Roman"/>
          <w:sz w:val="24"/>
          <w:szCs w:val="24"/>
        </w:rPr>
        <w:t xml:space="preserve"> l’Imperatore e Re.</w:t>
      </w:r>
      <w:r w:rsidR="005572FC">
        <w:rPr>
          <w:rFonts w:ascii="Times New Roman" w:hAnsi="Times New Roman"/>
          <w:sz w:val="24"/>
          <w:szCs w:val="24"/>
        </w:rPr>
        <w:t xml:space="preserve"> L’Ungheria, formalmente autonoma negli affari </w:t>
      </w:r>
      <w:r w:rsidR="006617CF">
        <w:rPr>
          <w:rFonts w:ascii="Times New Roman" w:hAnsi="Times New Roman"/>
          <w:sz w:val="24"/>
          <w:szCs w:val="24"/>
        </w:rPr>
        <w:t>interni, doveva sottoporre al sovrano</w:t>
      </w:r>
      <w:r w:rsidR="005572FC">
        <w:rPr>
          <w:rFonts w:ascii="Times New Roman" w:hAnsi="Times New Roman"/>
          <w:sz w:val="24"/>
          <w:szCs w:val="24"/>
        </w:rPr>
        <w:t xml:space="preserve"> ogni proposta di legge o decreto, per ottener</w:t>
      </w:r>
      <w:r w:rsidR="006617CF">
        <w:rPr>
          <w:rFonts w:ascii="Times New Roman" w:hAnsi="Times New Roman"/>
          <w:sz w:val="24"/>
          <w:szCs w:val="24"/>
        </w:rPr>
        <w:t>n</w:t>
      </w:r>
      <w:r w:rsidR="005572FC">
        <w:rPr>
          <w:rFonts w:ascii="Times New Roman" w:hAnsi="Times New Roman"/>
          <w:sz w:val="24"/>
          <w:szCs w:val="24"/>
        </w:rPr>
        <w:t>e l</w:t>
      </w:r>
      <w:r w:rsidR="007F522A">
        <w:rPr>
          <w:rFonts w:ascii="Times New Roman" w:hAnsi="Times New Roman"/>
          <w:sz w:val="24"/>
          <w:szCs w:val="24"/>
        </w:rPr>
        <w:t>a sanzione</w:t>
      </w:r>
      <w:r w:rsidR="005572FC">
        <w:rPr>
          <w:rFonts w:ascii="Times New Roman" w:hAnsi="Times New Roman"/>
          <w:sz w:val="24"/>
          <w:szCs w:val="24"/>
        </w:rPr>
        <w:t xml:space="preserve"> preve</w:t>
      </w:r>
      <w:r w:rsidR="006617CF">
        <w:rPr>
          <w:rFonts w:ascii="Times New Roman" w:hAnsi="Times New Roman"/>
          <w:sz w:val="24"/>
          <w:szCs w:val="24"/>
        </w:rPr>
        <w:t>ntiva</w:t>
      </w:r>
      <w:r w:rsidR="005572FC">
        <w:rPr>
          <w:rFonts w:ascii="Times New Roman" w:hAnsi="Times New Roman"/>
          <w:sz w:val="24"/>
          <w:szCs w:val="24"/>
        </w:rPr>
        <w:t xml:space="preserve">. In pieno possesso del diritto di assenso e veto, </w:t>
      </w:r>
      <w:r w:rsidR="00812F68">
        <w:rPr>
          <w:rFonts w:ascii="Times New Roman" w:hAnsi="Times New Roman"/>
          <w:sz w:val="24"/>
          <w:szCs w:val="24"/>
        </w:rPr>
        <w:t xml:space="preserve">il </w:t>
      </w:r>
      <w:r w:rsidR="005572FC">
        <w:rPr>
          <w:rFonts w:ascii="Times New Roman" w:hAnsi="Times New Roman"/>
          <w:sz w:val="24"/>
          <w:szCs w:val="24"/>
        </w:rPr>
        <w:t>sovrano fungeva da chiave di volta del sistema</w:t>
      </w:r>
      <w:r w:rsidR="005572FC">
        <w:rPr>
          <w:rStyle w:val="Rimandonotaapidipagina"/>
          <w:rFonts w:ascii="Times New Roman" w:hAnsi="Times New Roman"/>
          <w:sz w:val="24"/>
          <w:szCs w:val="24"/>
        </w:rPr>
        <w:footnoteReference w:id="57"/>
      </w:r>
      <w:r w:rsidR="00CE4689">
        <w:rPr>
          <w:rFonts w:ascii="Times New Roman" w:hAnsi="Times New Roman"/>
          <w:sz w:val="24"/>
          <w:szCs w:val="24"/>
        </w:rPr>
        <w:t xml:space="preserve"> </w:t>
      </w:r>
      <w:r w:rsidR="00BD19D8">
        <w:rPr>
          <w:rFonts w:ascii="Times New Roman" w:hAnsi="Times New Roman"/>
          <w:sz w:val="24"/>
          <w:szCs w:val="24"/>
        </w:rPr>
        <w:t>e presiedeva il Consiglio comune dei Ministri</w:t>
      </w:r>
      <w:r w:rsidR="00CE4689">
        <w:rPr>
          <w:rFonts w:ascii="Times New Roman" w:hAnsi="Times New Roman"/>
          <w:sz w:val="24"/>
          <w:szCs w:val="24"/>
        </w:rPr>
        <w:t xml:space="preserve"> </w:t>
      </w:r>
      <w:r w:rsidR="00A06D2D">
        <w:rPr>
          <w:rFonts w:ascii="Times New Roman" w:hAnsi="Times New Roman"/>
          <w:sz w:val="24"/>
          <w:szCs w:val="24"/>
        </w:rPr>
        <w:t>nel quale figuravano</w:t>
      </w:r>
      <w:r w:rsidR="00BD19D8">
        <w:rPr>
          <w:rFonts w:ascii="Times New Roman" w:hAnsi="Times New Roman"/>
          <w:sz w:val="24"/>
          <w:szCs w:val="24"/>
        </w:rPr>
        <w:t xml:space="preserve"> i </w:t>
      </w:r>
      <w:r w:rsidR="00CE4689">
        <w:rPr>
          <w:rFonts w:ascii="Times New Roman" w:hAnsi="Times New Roman"/>
          <w:sz w:val="24"/>
          <w:szCs w:val="24"/>
        </w:rPr>
        <w:t>due Presidenti del Consiglio –</w:t>
      </w:r>
      <w:r>
        <w:rPr>
          <w:rFonts w:ascii="Times New Roman" w:hAnsi="Times New Roman"/>
          <w:sz w:val="24"/>
          <w:szCs w:val="24"/>
        </w:rPr>
        <w:t xml:space="preserve"> austriaco e</w:t>
      </w:r>
      <w:r w:rsidR="00812F68">
        <w:rPr>
          <w:rFonts w:ascii="Times New Roman" w:hAnsi="Times New Roman"/>
          <w:sz w:val="24"/>
          <w:szCs w:val="24"/>
        </w:rPr>
        <w:t xml:space="preserve">d ungherese – </w:t>
      </w:r>
      <w:r w:rsidR="00BD19D8">
        <w:rPr>
          <w:rFonts w:ascii="Times New Roman" w:hAnsi="Times New Roman"/>
          <w:sz w:val="24"/>
          <w:szCs w:val="24"/>
        </w:rPr>
        <w:t>i</w:t>
      </w:r>
      <w:r w:rsidR="00CE4689">
        <w:rPr>
          <w:rFonts w:ascii="Times New Roman" w:hAnsi="Times New Roman"/>
          <w:sz w:val="24"/>
          <w:szCs w:val="24"/>
        </w:rPr>
        <w:t xml:space="preserve">l </w:t>
      </w:r>
      <w:r w:rsidR="001844A5">
        <w:rPr>
          <w:rFonts w:ascii="Times New Roman" w:hAnsi="Times New Roman"/>
          <w:sz w:val="24"/>
          <w:szCs w:val="24"/>
        </w:rPr>
        <w:t>M</w:t>
      </w:r>
      <w:commentRangeStart w:id="92"/>
      <w:commentRangeStart w:id="93"/>
      <w:r>
        <w:rPr>
          <w:rFonts w:ascii="Times New Roman" w:hAnsi="Times New Roman"/>
          <w:sz w:val="24"/>
          <w:szCs w:val="24"/>
        </w:rPr>
        <w:t>inistro u</w:t>
      </w:r>
      <w:r w:rsidR="00EC233B">
        <w:rPr>
          <w:rFonts w:ascii="Times New Roman" w:hAnsi="Times New Roman"/>
          <w:sz w:val="24"/>
          <w:szCs w:val="24"/>
        </w:rPr>
        <w:t>ngherese presso la persona del R</w:t>
      </w:r>
      <w:r>
        <w:rPr>
          <w:rFonts w:ascii="Times New Roman" w:hAnsi="Times New Roman"/>
          <w:sz w:val="24"/>
          <w:szCs w:val="24"/>
        </w:rPr>
        <w:t>e</w:t>
      </w:r>
      <w:commentRangeEnd w:id="92"/>
      <w:r w:rsidR="00CE4689">
        <w:rPr>
          <w:rStyle w:val="Rimandocommento"/>
        </w:rPr>
        <w:commentReference w:id="92"/>
      </w:r>
      <w:commentRangeEnd w:id="93"/>
      <w:r w:rsidR="001844A5">
        <w:rPr>
          <w:rStyle w:val="Rimandocommento"/>
        </w:rPr>
        <w:commentReference w:id="93"/>
      </w:r>
      <w:r>
        <w:rPr>
          <w:rStyle w:val="Rimandonotaapidipagina"/>
          <w:rFonts w:ascii="Times New Roman" w:hAnsi="Times New Roman"/>
          <w:sz w:val="24"/>
          <w:szCs w:val="24"/>
        </w:rPr>
        <w:footnoteReference w:id="58"/>
      </w:r>
      <w:r>
        <w:rPr>
          <w:rFonts w:ascii="Times New Roman" w:hAnsi="Times New Roman"/>
          <w:sz w:val="24"/>
          <w:szCs w:val="24"/>
        </w:rPr>
        <w:t>,</w:t>
      </w:r>
      <w:r w:rsidR="00BD19D8">
        <w:rPr>
          <w:rFonts w:ascii="Times New Roman" w:hAnsi="Times New Roman"/>
          <w:sz w:val="24"/>
          <w:szCs w:val="24"/>
        </w:rPr>
        <w:t xml:space="preserve"> </w:t>
      </w:r>
      <w:r w:rsidR="001844A5">
        <w:rPr>
          <w:rFonts w:ascii="Times New Roman" w:hAnsi="Times New Roman"/>
          <w:sz w:val="24"/>
          <w:szCs w:val="24"/>
        </w:rPr>
        <w:t>i M</w:t>
      </w:r>
      <w:r>
        <w:rPr>
          <w:rFonts w:ascii="Times New Roman" w:hAnsi="Times New Roman"/>
          <w:sz w:val="24"/>
          <w:szCs w:val="24"/>
        </w:rPr>
        <w:t>inistri comuni degli Esteri, delle Finanze e della Guerra</w:t>
      </w:r>
      <w:r>
        <w:rPr>
          <w:rStyle w:val="Rimandonotaapidipagina"/>
          <w:rFonts w:ascii="Times New Roman" w:hAnsi="Times New Roman"/>
          <w:sz w:val="24"/>
          <w:szCs w:val="24"/>
        </w:rPr>
        <w:footnoteReference w:id="59"/>
      </w:r>
      <w:r w:rsidR="000D2995">
        <w:rPr>
          <w:rFonts w:ascii="Times New Roman" w:hAnsi="Times New Roman"/>
          <w:sz w:val="24"/>
          <w:szCs w:val="24"/>
        </w:rPr>
        <w:t>.</w:t>
      </w:r>
      <w:r w:rsidR="000B226B">
        <w:rPr>
          <w:rFonts w:ascii="Times New Roman" w:hAnsi="Times New Roman"/>
          <w:sz w:val="24"/>
          <w:szCs w:val="24"/>
        </w:rPr>
        <w:t xml:space="preserve"> Ogni dieci anni le due parti erano tenute a negoziare un nuovo compro</w:t>
      </w:r>
      <w:r w:rsidR="00B9702F">
        <w:rPr>
          <w:rFonts w:ascii="Times New Roman" w:hAnsi="Times New Roman"/>
          <w:sz w:val="24"/>
          <w:szCs w:val="24"/>
        </w:rPr>
        <w:t>messo economico inviando delegazioni nominate dai due Parlamenti, per</w:t>
      </w:r>
      <w:r w:rsidR="000B226B">
        <w:rPr>
          <w:rFonts w:ascii="Times New Roman" w:hAnsi="Times New Roman"/>
          <w:sz w:val="24"/>
          <w:szCs w:val="24"/>
        </w:rPr>
        <w:t xml:space="preserve"> definire le</w:t>
      </w:r>
      <w:r w:rsidR="00B9702F">
        <w:rPr>
          <w:rFonts w:ascii="Times New Roman" w:hAnsi="Times New Roman"/>
          <w:sz w:val="24"/>
          <w:szCs w:val="24"/>
        </w:rPr>
        <w:t xml:space="preserve"> rispettive quote contributive negli affari comuni.</w:t>
      </w:r>
      <w:r w:rsidR="00D849B6">
        <w:rPr>
          <w:rFonts w:ascii="Times New Roman" w:hAnsi="Times New Roman"/>
          <w:sz w:val="24"/>
          <w:szCs w:val="24"/>
        </w:rPr>
        <w:t xml:space="preserve"> </w:t>
      </w:r>
    </w:p>
    <w:p w14:paraId="7548F00D" w14:textId="1C3149A6" w:rsidR="005C4062" w:rsidRDefault="004B13D1" w:rsidP="005C4062">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 xml:space="preserve">Il </w:t>
      </w:r>
      <w:r w:rsidR="00D849B6">
        <w:rPr>
          <w:rFonts w:ascii="Times New Roman" w:hAnsi="Times New Roman"/>
          <w:sz w:val="24"/>
          <w:szCs w:val="24"/>
        </w:rPr>
        <w:t>Dualismo</w:t>
      </w:r>
      <w:r>
        <w:rPr>
          <w:rFonts w:ascii="Times New Roman" w:hAnsi="Times New Roman"/>
          <w:sz w:val="24"/>
          <w:szCs w:val="24"/>
        </w:rPr>
        <w:t xml:space="preserve"> fu dal principio</w:t>
      </w:r>
      <w:r w:rsidR="0057324F">
        <w:rPr>
          <w:rFonts w:ascii="Times New Roman" w:hAnsi="Times New Roman"/>
          <w:sz w:val="24"/>
          <w:szCs w:val="24"/>
        </w:rPr>
        <w:t xml:space="preserve"> avversato</w:t>
      </w:r>
      <w:r w:rsidR="00D849B6">
        <w:rPr>
          <w:rFonts w:ascii="Times New Roman" w:hAnsi="Times New Roman"/>
          <w:sz w:val="24"/>
          <w:szCs w:val="24"/>
        </w:rPr>
        <w:t xml:space="preserve"> dai tedeschi dell’Austria</w:t>
      </w:r>
      <w:r w:rsidR="00D849B6">
        <w:rPr>
          <w:rStyle w:val="Rimandonotaapidipagina"/>
          <w:rFonts w:ascii="Times New Roman" w:hAnsi="Times New Roman"/>
          <w:sz w:val="24"/>
          <w:szCs w:val="24"/>
        </w:rPr>
        <w:footnoteReference w:id="60"/>
      </w:r>
      <w:r>
        <w:rPr>
          <w:rFonts w:ascii="Times New Roman" w:hAnsi="Times New Roman"/>
          <w:sz w:val="24"/>
          <w:szCs w:val="24"/>
        </w:rPr>
        <w:t xml:space="preserve">, dai burocrati centralisti e dai vertici della pubblica amministrazione, dall’esercito imperiale e da parte del mondo </w:t>
      </w:r>
      <w:r>
        <w:rPr>
          <w:rFonts w:ascii="Times New Roman" w:hAnsi="Times New Roman"/>
          <w:sz w:val="24"/>
          <w:szCs w:val="24"/>
        </w:rPr>
        <w:lastRenderedPageBreak/>
        <w:t>industriale: in seguito la falange dei suoi irriducibili detrattori cisleithani si restrinse agli</w:t>
      </w:r>
      <w:r w:rsidR="009E09D4">
        <w:rPr>
          <w:rFonts w:ascii="Times New Roman" w:hAnsi="Times New Roman"/>
          <w:sz w:val="24"/>
          <w:szCs w:val="24"/>
        </w:rPr>
        <w:t xml:space="preserve"> agrari e al Partito cristiano-sociale</w:t>
      </w:r>
      <w:r w:rsidR="00D81245">
        <w:rPr>
          <w:rFonts w:ascii="Times New Roman" w:hAnsi="Times New Roman"/>
          <w:sz w:val="24"/>
          <w:szCs w:val="24"/>
        </w:rPr>
        <w:t xml:space="preserve"> schiettamente ostile ai </w:t>
      </w:r>
      <w:r>
        <w:rPr>
          <w:rFonts w:ascii="Times New Roman" w:hAnsi="Times New Roman"/>
          <w:sz w:val="24"/>
          <w:szCs w:val="24"/>
        </w:rPr>
        <w:t>magiari</w:t>
      </w:r>
      <w:r>
        <w:rPr>
          <w:rStyle w:val="Rimandonotaapidipagina"/>
          <w:rFonts w:ascii="Times New Roman" w:hAnsi="Times New Roman"/>
          <w:sz w:val="24"/>
          <w:szCs w:val="24"/>
        </w:rPr>
        <w:footnoteReference w:id="61"/>
      </w:r>
      <w:r>
        <w:rPr>
          <w:rFonts w:ascii="Times New Roman" w:hAnsi="Times New Roman"/>
          <w:sz w:val="24"/>
          <w:szCs w:val="24"/>
        </w:rPr>
        <w:t xml:space="preserve">, mentre fu </w:t>
      </w:r>
      <w:r w:rsidR="00D849B6">
        <w:rPr>
          <w:rFonts w:ascii="Times New Roman" w:hAnsi="Times New Roman"/>
          <w:sz w:val="24"/>
          <w:szCs w:val="24"/>
        </w:rPr>
        <w:t>considerato una sorta di truffa dalle nazion</w:t>
      </w:r>
      <w:r>
        <w:rPr>
          <w:rFonts w:ascii="Times New Roman" w:hAnsi="Times New Roman"/>
          <w:sz w:val="24"/>
          <w:szCs w:val="24"/>
        </w:rPr>
        <w:t>alità slave della Monarchia. Il giudizio complessivo era</w:t>
      </w:r>
      <w:r w:rsidR="00D849B6">
        <w:rPr>
          <w:rFonts w:ascii="Times New Roman" w:hAnsi="Times New Roman"/>
          <w:sz w:val="24"/>
          <w:szCs w:val="24"/>
        </w:rPr>
        <w:t xml:space="preserve"> anche viziato</w:t>
      </w:r>
      <w:r w:rsidR="00EE1931">
        <w:rPr>
          <w:rFonts w:ascii="Times New Roman" w:hAnsi="Times New Roman"/>
          <w:sz w:val="24"/>
          <w:szCs w:val="24"/>
        </w:rPr>
        <w:t xml:space="preserve"> dalla percezione reciprocamente alterata dell’opinione pubblica cis- e tra</w:t>
      </w:r>
      <w:r w:rsidR="006901FF">
        <w:rPr>
          <w:rFonts w:ascii="Times New Roman" w:hAnsi="Times New Roman"/>
          <w:sz w:val="24"/>
          <w:szCs w:val="24"/>
        </w:rPr>
        <w:t xml:space="preserve">nsleithana.  Gli ungheresi </w:t>
      </w:r>
      <w:r w:rsidR="00EE1931">
        <w:rPr>
          <w:rFonts w:ascii="Times New Roman" w:hAnsi="Times New Roman"/>
          <w:sz w:val="24"/>
          <w:szCs w:val="24"/>
        </w:rPr>
        <w:t>godevano degli indubbi vantaggi confer</w:t>
      </w:r>
      <w:r w:rsidR="006901FF">
        <w:rPr>
          <w:rFonts w:ascii="Times New Roman" w:hAnsi="Times New Roman"/>
          <w:sz w:val="24"/>
          <w:szCs w:val="24"/>
        </w:rPr>
        <w:t>iti dall’ordinamento dualistico ma</w:t>
      </w:r>
      <w:r w:rsidR="00EE1931">
        <w:rPr>
          <w:rFonts w:ascii="Times New Roman" w:hAnsi="Times New Roman"/>
          <w:sz w:val="24"/>
          <w:szCs w:val="24"/>
        </w:rPr>
        <w:t xml:space="preserve"> erano persuasi di essere oppressi dall’Austria, mentre gli austriaci erano convinti che gli ungheresi eserc</w:t>
      </w:r>
      <w:r w:rsidR="00854F28">
        <w:rPr>
          <w:rFonts w:ascii="Times New Roman" w:hAnsi="Times New Roman"/>
          <w:sz w:val="24"/>
          <w:szCs w:val="24"/>
        </w:rPr>
        <w:t>itassero una sorta di dominio</w:t>
      </w:r>
      <w:r w:rsidR="00EE1931">
        <w:rPr>
          <w:rFonts w:ascii="Times New Roman" w:hAnsi="Times New Roman"/>
          <w:sz w:val="24"/>
          <w:szCs w:val="24"/>
        </w:rPr>
        <w:t xml:space="preserve"> nella Monarchia e condizionassero il loro destino. Queste percezioni giunsero talmente lontano da influenzare il giudizio degli storici austriaci e ungheresi sugli aspetti politici, economici, militari che regolavano i rapporti tra le due metà della Duplice Monarchia, nel tentativo di comprendere se esistesse un effettivo equilibrio, o nel caso</w:t>
      </w:r>
      <w:r w:rsidR="00854F28">
        <w:rPr>
          <w:rFonts w:ascii="Times New Roman" w:hAnsi="Times New Roman"/>
          <w:sz w:val="24"/>
          <w:szCs w:val="24"/>
        </w:rPr>
        <w:t xml:space="preserve"> contrario quale parte sopravanzasse</w:t>
      </w:r>
      <w:r w:rsidR="00EE1931">
        <w:rPr>
          <w:rFonts w:ascii="Times New Roman" w:hAnsi="Times New Roman"/>
          <w:sz w:val="24"/>
          <w:szCs w:val="24"/>
        </w:rPr>
        <w:t xml:space="preserve"> l’altra. La storiografia ungherese del secondo dopoguerra giunse a conclusioni più sofisticate sulla posizione dell’Ungheria nel sistema dualistico</w:t>
      </w:r>
      <w:r w:rsidR="00EE1931">
        <w:rPr>
          <w:rStyle w:val="Rimandonotaapidipagina"/>
          <w:rFonts w:ascii="Times New Roman" w:hAnsi="Times New Roman"/>
          <w:sz w:val="24"/>
          <w:szCs w:val="24"/>
        </w:rPr>
        <w:footnoteReference w:id="62"/>
      </w:r>
      <w:r w:rsidR="004E7240">
        <w:rPr>
          <w:rFonts w:ascii="Times New Roman" w:hAnsi="Times New Roman"/>
          <w:sz w:val="24"/>
          <w:szCs w:val="24"/>
        </w:rPr>
        <w:t>. Il</w:t>
      </w:r>
      <w:r w:rsidR="006901FF">
        <w:rPr>
          <w:rFonts w:ascii="Times New Roman" w:hAnsi="Times New Roman"/>
          <w:sz w:val="24"/>
          <w:szCs w:val="24"/>
        </w:rPr>
        <w:t xml:space="preserve"> regno di Santo Stefano fruiva</w:t>
      </w:r>
      <w:r w:rsidR="00EE1931">
        <w:rPr>
          <w:rFonts w:ascii="Times New Roman" w:hAnsi="Times New Roman"/>
          <w:sz w:val="24"/>
          <w:szCs w:val="24"/>
        </w:rPr>
        <w:t xml:space="preserve"> di piena autonomia nelle questioni interne, malgr</w:t>
      </w:r>
      <w:r w:rsidR="006901FF">
        <w:rPr>
          <w:rFonts w:ascii="Times New Roman" w:hAnsi="Times New Roman"/>
          <w:sz w:val="24"/>
          <w:szCs w:val="24"/>
        </w:rPr>
        <w:t xml:space="preserve">ado il re potesse </w:t>
      </w:r>
      <w:r w:rsidR="00EE1931">
        <w:rPr>
          <w:rFonts w:ascii="Times New Roman" w:hAnsi="Times New Roman"/>
          <w:sz w:val="24"/>
          <w:szCs w:val="24"/>
        </w:rPr>
        <w:t>subordinarle all’interesse generale della Monarchia. Per quanto riguardava gli accordi di interesse basati su principi comuni</w:t>
      </w:r>
      <w:r w:rsidR="00A35C17">
        <w:rPr>
          <w:rFonts w:ascii="Times New Roman" w:hAnsi="Times New Roman"/>
          <w:sz w:val="24"/>
          <w:szCs w:val="24"/>
        </w:rPr>
        <w:t>,</w:t>
      </w:r>
      <w:r w:rsidR="00EE1931">
        <w:rPr>
          <w:rFonts w:ascii="Times New Roman" w:hAnsi="Times New Roman"/>
          <w:sz w:val="24"/>
          <w:szCs w:val="24"/>
        </w:rPr>
        <w:t xml:space="preserve"> come la rinegoziazione economica decennale</w:t>
      </w:r>
      <w:r w:rsidR="00A35C17">
        <w:rPr>
          <w:rFonts w:ascii="Times New Roman" w:hAnsi="Times New Roman"/>
          <w:sz w:val="24"/>
          <w:szCs w:val="24"/>
        </w:rPr>
        <w:t>,</w:t>
      </w:r>
      <w:r w:rsidR="00EE1931">
        <w:rPr>
          <w:rFonts w:ascii="Times New Roman" w:hAnsi="Times New Roman"/>
          <w:sz w:val="24"/>
          <w:szCs w:val="24"/>
        </w:rPr>
        <w:t xml:space="preserve"> l’Ungheria lavorava su un piano di parità con l’Austria, mentre si poteva escludere un suo predominio nel comune Con</w:t>
      </w:r>
      <w:r w:rsidR="00A35C17">
        <w:rPr>
          <w:rFonts w:ascii="Times New Roman" w:hAnsi="Times New Roman"/>
          <w:sz w:val="24"/>
          <w:szCs w:val="24"/>
        </w:rPr>
        <w:t>siglio dei Ministri: la</w:t>
      </w:r>
      <w:r w:rsidR="00EE1931">
        <w:rPr>
          <w:rFonts w:ascii="Times New Roman" w:hAnsi="Times New Roman"/>
          <w:sz w:val="24"/>
          <w:szCs w:val="24"/>
        </w:rPr>
        <w:t xml:space="preserve"> scalata ai Ministeri comuni vedeva</w:t>
      </w:r>
      <w:r w:rsidR="00A35C17">
        <w:rPr>
          <w:rFonts w:ascii="Times New Roman" w:hAnsi="Times New Roman"/>
          <w:sz w:val="24"/>
          <w:szCs w:val="24"/>
        </w:rPr>
        <w:t xml:space="preserve"> infatti</w:t>
      </w:r>
      <w:r w:rsidR="00EE1931">
        <w:rPr>
          <w:rFonts w:ascii="Times New Roman" w:hAnsi="Times New Roman"/>
          <w:sz w:val="24"/>
          <w:szCs w:val="24"/>
        </w:rPr>
        <w:t xml:space="preserve"> gli ungheresi in </w:t>
      </w:r>
      <w:r w:rsidR="00EB14CA">
        <w:rPr>
          <w:rFonts w:ascii="Times New Roman" w:hAnsi="Times New Roman"/>
          <w:sz w:val="24"/>
          <w:szCs w:val="24"/>
        </w:rPr>
        <w:t>vantaggio soltanto a</w:t>
      </w:r>
      <w:r w:rsidR="00EE1931">
        <w:rPr>
          <w:rFonts w:ascii="Times New Roman" w:hAnsi="Times New Roman"/>
          <w:sz w:val="24"/>
          <w:szCs w:val="24"/>
        </w:rPr>
        <w:t>lle Finanze, mentre erano nettamente surclassati dalla parte au</w:t>
      </w:r>
      <w:r w:rsidR="00920E7F">
        <w:rPr>
          <w:rFonts w:ascii="Times New Roman" w:hAnsi="Times New Roman"/>
          <w:sz w:val="24"/>
          <w:szCs w:val="24"/>
        </w:rPr>
        <w:t>striaca in quello</w:t>
      </w:r>
      <w:r w:rsidR="005C4062">
        <w:rPr>
          <w:rFonts w:ascii="Times New Roman" w:hAnsi="Times New Roman"/>
          <w:sz w:val="24"/>
          <w:szCs w:val="24"/>
        </w:rPr>
        <w:t xml:space="preserve"> della Guerra. </w:t>
      </w:r>
    </w:p>
    <w:p w14:paraId="5E5D0093" w14:textId="709C0690" w:rsidR="000F5375" w:rsidRPr="00E23BD0" w:rsidRDefault="00856816" w:rsidP="007E6A1A">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 xml:space="preserve">Con il varo dell’ordinamento dualistico </w:t>
      </w:r>
      <w:r w:rsidR="00C947BB">
        <w:rPr>
          <w:rFonts w:ascii="Times New Roman" w:hAnsi="Times New Roman"/>
          <w:sz w:val="24"/>
          <w:szCs w:val="24"/>
        </w:rPr>
        <w:t>l</w:t>
      </w:r>
      <w:r w:rsidR="00704031">
        <w:rPr>
          <w:rFonts w:ascii="Times New Roman" w:hAnsi="Times New Roman"/>
          <w:sz w:val="24"/>
          <w:szCs w:val="24"/>
        </w:rPr>
        <w:t>a metà austriaca dell’impero</w:t>
      </w:r>
      <w:r>
        <w:rPr>
          <w:rFonts w:ascii="Times New Roman" w:hAnsi="Times New Roman"/>
          <w:sz w:val="24"/>
          <w:szCs w:val="24"/>
        </w:rPr>
        <w:t xml:space="preserve"> divenne</w:t>
      </w:r>
      <w:r w:rsidR="00704031">
        <w:rPr>
          <w:rFonts w:ascii="Times New Roman" w:hAnsi="Times New Roman"/>
          <w:sz w:val="24"/>
          <w:szCs w:val="24"/>
        </w:rPr>
        <w:t xml:space="preserve"> uno Stato liberal-</w:t>
      </w:r>
      <w:r w:rsidR="003C44EA">
        <w:rPr>
          <w:rFonts w:ascii="Times New Roman" w:hAnsi="Times New Roman"/>
          <w:sz w:val="24"/>
          <w:szCs w:val="24"/>
        </w:rPr>
        <w:t xml:space="preserve">costituzionale fondato sul diritto e sul rispetto </w:t>
      </w:r>
      <w:r w:rsidR="00704031">
        <w:rPr>
          <w:rFonts w:ascii="Times New Roman" w:hAnsi="Times New Roman"/>
          <w:sz w:val="24"/>
          <w:szCs w:val="24"/>
        </w:rPr>
        <w:t>delle autonomie nazionali: un sistema p</w:t>
      </w:r>
      <w:r w:rsidR="003C44EA">
        <w:rPr>
          <w:rFonts w:ascii="Times New Roman" w:hAnsi="Times New Roman"/>
          <w:sz w:val="24"/>
          <w:szCs w:val="24"/>
        </w:rPr>
        <w:t>erfettibile, che sanciva la cooperazione, per quanto a volte ardua, tra la tradizione di governo burocratico</w:t>
      </w:r>
      <w:r w:rsidR="002A0C9E">
        <w:rPr>
          <w:rFonts w:ascii="Times New Roman" w:hAnsi="Times New Roman"/>
          <w:sz w:val="24"/>
          <w:szCs w:val="24"/>
        </w:rPr>
        <w:t xml:space="preserve"> e la rapida maturazione della coscienza politica di massa</w:t>
      </w:r>
      <w:r w:rsidR="003C44EA">
        <w:rPr>
          <w:rFonts w:ascii="Times New Roman" w:hAnsi="Times New Roman"/>
          <w:sz w:val="24"/>
          <w:szCs w:val="24"/>
        </w:rPr>
        <w:t xml:space="preserve">. Un sistema amministrativo binario, costituito dallo Stato e dalle amministrazioni autonome locali, metteva in relazione l’apparato burocratico </w:t>
      </w:r>
      <w:r w:rsidR="00FC72B9">
        <w:rPr>
          <w:rFonts w:ascii="Times New Roman" w:hAnsi="Times New Roman"/>
          <w:sz w:val="24"/>
          <w:szCs w:val="24"/>
        </w:rPr>
        <w:t>d</w:t>
      </w:r>
      <w:r w:rsidR="003C44EA">
        <w:rPr>
          <w:rFonts w:ascii="Times New Roman" w:hAnsi="Times New Roman"/>
          <w:sz w:val="24"/>
          <w:szCs w:val="24"/>
        </w:rPr>
        <w:t>al vertice</w:t>
      </w:r>
      <w:r w:rsidR="00FC72B9">
        <w:rPr>
          <w:rFonts w:ascii="Times New Roman" w:hAnsi="Times New Roman"/>
          <w:sz w:val="24"/>
          <w:szCs w:val="24"/>
        </w:rPr>
        <w:t xml:space="preserve"> a</w:t>
      </w:r>
      <w:r w:rsidR="00FD0031">
        <w:rPr>
          <w:rFonts w:ascii="Times New Roman" w:hAnsi="Times New Roman"/>
          <w:sz w:val="24"/>
          <w:szCs w:val="24"/>
        </w:rPr>
        <w:t>lle sue articolazioni periferiche</w:t>
      </w:r>
      <w:r w:rsidR="003C44EA">
        <w:rPr>
          <w:rFonts w:ascii="Times New Roman" w:hAnsi="Times New Roman"/>
          <w:sz w:val="24"/>
          <w:szCs w:val="24"/>
        </w:rPr>
        <w:t xml:space="preserve"> con</w:t>
      </w:r>
      <w:r w:rsidR="00BE4124">
        <w:rPr>
          <w:rFonts w:ascii="Times New Roman" w:hAnsi="Times New Roman"/>
          <w:sz w:val="24"/>
          <w:szCs w:val="24"/>
        </w:rPr>
        <w:t xml:space="preserve"> il </w:t>
      </w:r>
      <w:r w:rsidR="00BE4124">
        <w:rPr>
          <w:rFonts w:ascii="Times New Roman" w:hAnsi="Times New Roman"/>
          <w:sz w:val="24"/>
          <w:szCs w:val="24"/>
        </w:rPr>
        <w:lastRenderedPageBreak/>
        <w:t>Parlamento imperiale, le Diete provinciali, le Assemblee distrettuali e i C</w:t>
      </w:r>
      <w:r w:rsidR="003C44EA">
        <w:rPr>
          <w:rFonts w:ascii="Times New Roman" w:hAnsi="Times New Roman"/>
          <w:sz w:val="24"/>
          <w:szCs w:val="24"/>
        </w:rPr>
        <w:t>onsigli comunali, strutture ape</w:t>
      </w:r>
      <w:r w:rsidR="002A0C9E">
        <w:rPr>
          <w:rFonts w:ascii="Times New Roman" w:hAnsi="Times New Roman"/>
          <w:sz w:val="24"/>
          <w:szCs w:val="24"/>
        </w:rPr>
        <w:t>rte alla partecipazione politica</w:t>
      </w:r>
      <w:r w:rsidR="003C44EA">
        <w:rPr>
          <w:rFonts w:ascii="Times New Roman" w:hAnsi="Times New Roman"/>
          <w:sz w:val="24"/>
          <w:szCs w:val="24"/>
        </w:rPr>
        <w:t xml:space="preserve">. </w:t>
      </w:r>
      <w:r w:rsidR="00FD0031">
        <w:rPr>
          <w:rFonts w:ascii="Times New Roman" w:hAnsi="Times New Roman"/>
          <w:sz w:val="24"/>
          <w:szCs w:val="24"/>
        </w:rPr>
        <w:t>Le procedure e le norme del potere statale, la cosiddetta ‘costituzione vivente’</w:t>
      </w:r>
      <w:r w:rsidR="00B9702F">
        <w:rPr>
          <w:rFonts w:ascii="Times New Roman" w:hAnsi="Times New Roman"/>
          <w:sz w:val="24"/>
          <w:szCs w:val="24"/>
        </w:rPr>
        <w:t>,</w:t>
      </w:r>
      <w:r w:rsidR="00FD0031">
        <w:rPr>
          <w:rFonts w:ascii="Times New Roman" w:hAnsi="Times New Roman"/>
          <w:sz w:val="24"/>
          <w:szCs w:val="24"/>
        </w:rPr>
        <w:t xml:space="preserve"> furono messe in opera negli anni dal 1868 al 1895,</w:t>
      </w:r>
      <w:r w:rsidR="00B9702F">
        <w:rPr>
          <w:rFonts w:ascii="Times New Roman" w:hAnsi="Times New Roman"/>
          <w:sz w:val="24"/>
          <w:szCs w:val="24"/>
        </w:rPr>
        <w:t xml:space="preserve"> unendo un</w:t>
      </w:r>
      <w:r w:rsidR="00FD0031">
        <w:rPr>
          <w:rFonts w:ascii="Times New Roman" w:hAnsi="Times New Roman"/>
          <w:sz w:val="24"/>
          <w:szCs w:val="24"/>
        </w:rPr>
        <w:t xml:space="preserve"> sistema amministrativ</w:t>
      </w:r>
      <w:r w:rsidR="00B9702F">
        <w:rPr>
          <w:rFonts w:ascii="Times New Roman" w:hAnsi="Times New Roman"/>
          <w:sz w:val="24"/>
          <w:szCs w:val="24"/>
        </w:rPr>
        <w:t>o imperiale vecchio di secoli al</w:t>
      </w:r>
      <w:r w:rsidR="00FD0031">
        <w:rPr>
          <w:rFonts w:ascii="Times New Roman" w:hAnsi="Times New Roman"/>
          <w:sz w:val="24"/>
          <w:szCs w:val="24"/>
        </w:rPr>
        <w:t>le moderne istituzioni rappresentative</w:t>
      </w:r>
      <w:r w:rsidR="00020882">
        <w:rPr>
          <w:rStyle w:val="Rimandonotaapidipagina"/>
          <w:rFonts w:ascii="Times New Roman" w:hAnsi="Times New Roman"/>
          <w:sz w:val="24"/>
          <w:szCs w:val="24"/>
        </w:rPr>
        <w:footnoteReference w:id="63"/>
      </w:r>
      <w:r w:rsidR="00B9702F">
        <w:rPr>
          <w:rFonts w:ascii="Times New Roman" w:hAnsi="Times New Roman"/>
          <w:sz w:val="24"/>
          <w:szCs w:val="24"/>
        </w:rPr>
        <w:t>: un connubio in cui</w:t>
      </w:r>
      <w:r w:rsidR="00FD0031">
        <w:rPr>
          <w:rFonts w:ascii="Times New Roman" w:hAnsi="Times New Roman"/>
          <w:sz w:val="24"/>
          <w:szCs w:val="24"/>
        </w:rPr>
        <w:t xml:space="preserve"> </w:t>
      </w:r>
      <w:r w:rsidR="00B9702F">
        <w:rPr>
          <w:rFonts w:ascii="Times New Roman" w:hAnsi="Times New Roman"/>
          <w:sz w:val="24"/>
          <w:szCs w:val="24"/>
        </w:rPr>
        <w:t xml:space="preserve">moderna </w:t>
      </w:r>
      <w:r w:rsidR="00FD0031">
        <w:rPr>
          <w:rFonts w:ascii="Times New Roman" w:hAnsi="Times New Roman"/>
          <w:sz w:val="24"/>
          <w:szCs w:val="24"/>
        </w:rPr>
        <w:t>partecipazione</w:t>
      </w:r>
      <w:r w:rsidR="00B9702F">
        <w:rPr>
          <w:rFonts w:ascii="Times New Roman" w:hAnsi="Times New Roman"/>
          <w:sz w:val="24"/>
          <w:szCs w:val="24"/>
        </w:rPr>
        <w:t xml:space="preserve"> politica</w:t>
      </w:r>
      <w:r w:rsidR="00FD0031">
        <w:rPr>
          <w:rFonts w:ascii="Times New Roman" w:hAnsi="Times New Roman"/>
          <w:sz w:val="24"/>
          <w:szCs w:val="24"/>
        </w:rPr>
        <w:t xml:space="preserve"> e amministrazione tecnocratica trovarono il modo di </w:t>
      </w:r>
      <w:r w:rsidR="00B9702F">
        <w:rPr>
          <w:rFonts w:ascii="Times New Roman" w:hAnsi="Times New Roman"/>
          <w:sz w:val="24"/>
          <w:szCs w:val="24"/>
        </w:rPr>
        <w:t>lavorare insieme per</w:t>
      </w:r>
      <w:r w:rsidR="00FD0031">
        <w:rPr>
          <w:rFonts w:ascii="Times New Roman" w:hAnsi="Times New Roman"/>
          <w:sz w:val="24"/>
          <w:szCs w:val="24"/>
        </w:rPr>
        <w:t xml:space="preserve"> guidare lo Stato. </w:t>
      </w:r>
      <w:r w:rsidR="007E6A1A">
        <w:rPr>
          <w:rFonts w:ascii="Times New Roman" w:hAnsi="Times New Roman"/>
          <w:sz w:val="24"/>
          <w:szCs w:val="24"/>
        </w:rPr>
        <w:t>Malgrado le critiche che le vennero rivolte, l</w:t>
      </w:r>
      <w:r w:rsidR="00FD0031">
        <w:rPr>
          <w:rFonts w:ascii="Times New Roman" w:hAnsi="Times New Roman"/>
          <w:sz w:val="24"/>
          <w:szCs w:val="24"/>
        </w:rPr>
        <w:t>a bur</w:t>
      </w:r>
      <w:r w:rsidR="007E6A1A">
        <w:rPr>
          <w:rFonts w:ascii="Times New Roman" w:hAnsi="Times New Roman"/>
          <w:sz w:val="24"/>
          <w:szCs w:val="24"/>
        </w:rPr>
        <w:t>ocrazia</w:t>
      </w:r>
      <w:r w:rsidR="00B073CE">
        <w:rPr>
          <w:rFonts w:ascii="Times New Roman" w:hAnsi="Times New Roman"/>
          <w:sz w:val="24"/>
          <w:szCs w:val="24"/>
        </w:rPr>
        <w:t xml:space="preserve"> non rappresentava</w:t>
      </w:r>
      <w:r w:rsidR="00FD0031">
        <w:rPr>
          <w:rFonts w:ascii="Times New Roman" w:hAnsi="Times New Roman"/>
          <w:sz w:val="24"/>
          <w:szCs w:val="24"/>
        </w:rPr>
        <w:t xml:space="preserve"> necessariamente un ostacolo allo sviluppo di istituzioni</w:t>
      </w:r>
      <w:r w:rsidR="00B073CE">
        <w:rPr>
          <w:rFonts w:ascii="Times New Roman" w:hAnsi="Times New Roman"/>
          <w:sz w:val="24"/>
          <w:szCs w:val="24"/>
        </w:rPr>
        <w:t xml:space="preserve"> più</w:t>
      </w:r>
      <w:r w:rsidR="00FD0031">
        <w:rPr>
          <w:rFonts w:ascii="Times New Roman" w:hAnsi="Times New Roman"/>
          <w:sz w:val="24"/>
          <w:szCs w:val="24"/>
        </w:rPr>
        <w:t xml:space="preserve"> democratiche</w:t>
      </w:r>
      <w:r w:rsidR="0060317B">
        <w:rPr>
          <w:rFonts w:ascii="Times New Roman" w:hAnsi="Times New Roman"/>
          <w:sz w:val="24"/>
          <w:szCs w:val="24"/>
        </w:rPr>
        <w:t xml:space="preserve">, </w:t>
      </w:r>
      <w:r w:rsidR="000F5375">
        <w:rPr>
          <w:rFonts w:ascii="Times New Roman" w:hAnsi="Times New Roman"/>
          <w:sz w:val="24"/>
          <w:szCs w:val="24"/>
        </w:rPr>
        <w:t xml:space="preserve">un compito che spettava in primo luogo ai corpi rappresentativi. </w:t>
      </w:r>
      <w:r w:rsidR="00C35348">
        <w:rPr>
          <w:rFonts w:ascii="Times New Roman" w:hAnsi="Times New Roman"/>
          <w:sz w:val="24"/>
          <w:szCs w:val="24"/>
        </w:rPr>
        <w:t>I</w:t>
      </w:r>
      <w:r w:rsidR="001F7BE4">
        <w:rPr>
          <w:rFonts w:ascii="Times New Roman" w:hAnsi="Times New Roman"/>
          <w:sz w:val="24"/>
          <w:szCs w:val="24"/>
        </w:rPr>
        <w:t>l P</w:t>
      </w:r>
      <w:r w:rsidR="000F5375">
        <w:rPr>
          <w:rFonts w:ascii="Times New Roman" w:hAnsi="Times New Roman"/>
          <w:sz w:val="24"/>
          <w:szCs w:val="24"/>
        </w:rPr>
        <w:t>arlamento cisleithano</w:t>
      </w:r>
      <w:r w:rsidR="00C35348">
        <w:rPr>
          <w:rFonts w:ascii="Times New Roman" w:hAnsi="Times New Roman"/>
          <w:sz w:val="24"/>
          <w:szCs w:val="24"/>
        </w:rPr>
        <w:t xml:space="preserve"> o </w:t>
      </w:r>
      <w:r w:rsidR="00C35348" w:rsidRPr="00C35348">
        <w:rPr>
          <w:rFonts w:ascii="Times New Roman" w:hAnsi="Times New Roman"/>
          <w:i/>
          <w:sz w:val="24"/>
          <w:szCs w:val="24"/>
        </w:rPr>
        <w:t>Reichsrat</w:t>
      </w:r>
      <w:r w:rsidR="00C35348">
        <w:rPr>
          <w:rFonts w:ascii="Times New Roman" w:hAnsi="Times New Roman"/>
          <w:sz w:val="24"/>
          <w:szCs w:val="24"/>
        </w:rPr>
        <w:t xml:space="preserve">, </w:t>
      </w:r>
      <w:r w:rsidR="000F5375">
        <w:rPr>
          <w:rFonts w:ascii="Times New Roman" w:hAnsi="Times New Roman"/>
          <w:sz w:val="24"/>
          <w:szCs w:val="24"/>
        </w:rPr>
        <w:t>l</w:t>
      </w:r>
      <w:r w:rsidR="000F5375" w:rsidRPr="000F5375">
        <w:rPr>
          <w:rFonts w:ascii="Times New Roman" w:hAnsi="Times New Roman"/>
          <w:sz w:val="24"/>
          <w:szCs w:val="24"/>
        </w:rPr>
        <w:t>’organo rappresentativo pi</w:t>
      </w:r>
      <w:r w:rsidR="000F5375">
        <w:rPr>
          <w:rFonts w:ascii="Times New Roman" w:hAnsi="Times New Roman"/>
          <w:sz w:val="24"/>
          <w:szCs w:val="24"/>
        </w:rPr>
        <w:t xml:space="preserve">ù importante, fu costantemente messo in difficoltà nella sua azione legislativa dalle rivalità nazionali e da un’elevata conflittualità parlamentare. </w:t>
      </w:r>
      <w:r w:rsidR="00112361">
        <w:rPr>
          <w:rFonts w:ascii="Times New Roman" w:hAnsi="Times New Roman"/>
          <w:sz w:val="24"/>
          <w:szCs w:val="24"/>
        </w:rPr>
        <w:t>I</w:t>
      </w:r>
      <w:r w:rsidR="00CD409C">
        <w:rPr>
          <w:rFonts w:ascii="Times New Roman" w:hAnsi="Times New Roman"/>
          <w:sz w:val="24"/>
          <w:szCs w:val="24"/>
        </w:rPr>
        <w:t xml:space="preserve">n </w:t>
      </w:r>
      <w:r w:rsidR="00C35348" w:rsidRPr="00C35348">
        <w:rPr>
          <w:rFonts w:ascii="Times New Roman" w:hAnsi="Times New Roman"/>
          <w:sz w:val="24"/>
          <w:szCs w:val="24"/>
        </w:rPr>
        <w:t>Cisleithania</w:t>
      </w:r>
      <w:r w:rsidR="00CD409C">
        <w:rPr>
          <w:rFonts w:ascii="Times New Roman" w:hAnsi="Times New Roman"/>
          <w:sz w:val="24"/>
          <w:szCs w:val="24"/>
        </w:rPr>
        <w:t xml:space="preserve"> la questione nazionale</w:t>
      </w:r>
      <w:r w:rsidR="004B13D1">
        <w:rPr>
          <w:rFonts w:ascii="Times New Roman" w:hAnsi="Times New Roman"/>
          <w:sz w:val="24"/>
          <w:szCs w:val="24"/>
        </w:rPr>
        <w:t>,</w:t>
      </w:r>
      <w:r w:rsidR="00CD409C">
        <w:rPr>
          <w:rFonts w:ascii="Times New Roman" w:hAnsi="Times New Roman"/>
          <w:sz w:val="24"/>
          <w:szCs w:val="24"/>
        </w:rPr>
        <w:t xml:space="preserve"> evidente soprattutto nella lotta fra tedeschi e cechi, influenzava più profondamente la vita politica</w:t>
      </w:r>
      <w:r w:rsidR="00F43086">
        <w:rPr>
          <w:rFonts w:ascii="Times New Roman" w:hAnsi="Times New Roman"/>
          <w:sz w:val="24"/>
          <w:szCs w:val="24"/>
        </w:rPr>
        <w:t>, finendo per indebolire la forza contrattuale del governo austriaco</w:t>
      </w:r>
      <w:r w:rsidR="004B13D1">
        <w:rPr>
          <w:rFonts w:ascii="Times New Roman" w:hAnsi="Times New Roman"/>
          <w:sz w:val="24"/>
          <w:szCs w:val="24"/>
        </w:rPr>
        <w:t xml:space="preserve"> dinanzi alla controparte ungherese</w:t>
      </w:r>
      <w:r w:rsidR="00CD409C">
        <w:rPr>
          <w:rFonts w:ascii="Times New Roman" w:hAnsi="Times New Roman"/>
          <w:sz w:val="24"/>
          <w:szCs w:val="24"/>
        </w:rPr>
        <w:t>.</w:t>
      </w:r>
      <w:r w:rsidR="0003787D" w:rsidRPr="0003787D">
        <w:rPr>
          <w:rFonts w:ascii="Times New Roman" w:hAnsi="Times New Roman"/>
          <w:sz w:val="24"/>
          <w:szCs w:val="24"/>
        </w:rPr>
        <w:t xml:space="preserve"> </w:t>
      </w:r>
      <w:r w:rsidR="00753AE6">
        <w:rPr>
          <w:rFonts w:ascii="Times New Roman" w:hAnsi="Times New Roman"/>
          <w:sz w:val="24"/>
          <w:szCs w:val="24"/>
        </w:rPr>
        <w:t xml:space="preserve">  </w:t>
      </w:r>
    </w:p>
    <w:p w14:paraId="18FE1500" w14:textId="2DE24CEC" w:rsidR="009764F3" w:rsidRPr="009764F3" w:rsidRDefault="00704031" w:rsidP="000F5375">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I</w:t>
      </w:r>
      <w:r w:rsidR="00C947BB" w:rsidRPr="00191A55">
        <w:rPr>
          <w:rFonts w:ascii="Times New Roman" w:hAnsi="Times New Roman"/>
          <w:sz w:val="24"/>
          <w:szCs w:val="24"/>
        </w:rPr>
        <w:t xml:space="preserve"> tedesco-</w:t>
      </w:r>
      <w:r w:rsidR="00C947BB" w:rsidRPr="00704031">
        <w:rPr>
          <w:rFonts w:ascii="Times New Roman" w:hAnsi="Times New Roman"/>
          <w:sz w:val="24"/>
          <w:szCs w:val="24"/>
        </w:rPr>
        <w:t>liberali,</w:t>
      </w:r>
      <w:r w:rsidR="00C947BB" w:rsidRPr="00191A55">
        <w:rPr>
          <w:rFonts w:ascii="Times New Roman" w:hAnsi="Times New Roman"/>
          <w:sz w:val="24"/>
          <w:szCs w:val="24"/>
        </w:rPr>
        <w:t xml:space="preserve"> gi</w:t>
      </w:r>
      <w:r w:rsidR="00C947BB">
        <w:rPr>
          <w:rFonts w:ascii="Times New Roman" w:hAnsi="Times New Roman"/>
          <w:sz w:val="24"/>
          <w:szCs w:val="24"/>
        </w:rPr>
        <w:t>à protagonisti della rivoluzione del 1848 e dei tentativi di centralizzazione costituzionale e amministra</w:t>
      </w:r>
      <w:r>
        <w:rPr>
          <w:rFonts w:ascii="Times New Roman" w:hAnsi="Times New Roman"/>
          <w:sz w:val="24"/>
          <w:szCs w:val="24"/>
        </w:rPr>
        <w:t>tiva, persero presto l’egemonia</w:t>
      </w:r>
      <w:r w:rsidR="00EE1931">
        <w:rPr>
          <w:rFonts w:ascii="Times New Roman" w:hAnsi="Times New Roman"/>
          <w:sz w:val="24"/>
          <w:szCs w:val="24"/>
        </w:rPr>
        <w:t xml:space="preserve"> in Cisleithania</w:t>
      </w:r>
      <w:r w:rsidR="002A0C9E">
        <w:rPr>
          <w:rFonts w:ascii="Times New Roman" w:hAnsi="Times New Roman"/>
          <w:sz w:val="24"/>
          <w:szCs w:val="24"/>
        </w:rPr>
        <w:t xml:space="preserve"> proprio in virtù del maggiore spazio politico offerto ai </w:t>
      </w:r>
      <w:r w:rsidR="00C947BB">
        <w:rPr>
          <w:rFonts w:ascii="Times New Roman" w:hAnsi="Times New Roman"/>
          <w:sz w:val="24"/>
          <w:szCs w:val="24"/>
        </w:rPr>
        <w:t>gruppi nazionali</w:t>
      </w:r>
      <w:r w:rsidR="002A0C9E">
        <w:rPr>
          <w:rFonts w:ascii="Times New Roman" w:hAnsi="Times New Roman"/>
          <w:sz w:val="24"/>
          <w:szCs w:val="24"/>
        </w:rPr>
        <w:t>, a loro volta</w:t>
      </w:r>
      <w:r w:rsidR="00AD3952">
        <w:rPr>
          <w:rFonts w:ascii="Times New Roman" w:hAnsi="Times New Roman"/>
          <w:sz w:val="24"/>
          <w:szCs w:val="24"/>
        </w:rPr>
        <w:t xml:space="preserve"> divisi in</w:t>
      </w:r>
      <w:r w:rsidR="002A0C9E">
        <w:rPr>
          <w:rFonts w:ascii="Times New Roman" w:hAnsi="Times New Roman"/>
          <w:sz w:val="24"/>
          <w:szCs w:val="24"/>
        </w:rPr>
        <w:t xml:space="preserve"> partiti ispirati </w:t>
      </w:r>
      <w:r w:rsidR="00AD3952">
        <w:rPr>
          <w:rFonts w:ascii="Times New Roman" w:hAnsi="Times New Roman"/>
          <w:sz w:val="24"/>
          <w:szCs w:val="24"/>
        </w:rPr>
        <w:t>d</w:t>
      </w:r>
      <w:r w:rsidR="00B131A1">
        <w:rPr>
          <w:rFonts w:ascii="Times New Roman" w:hAnsi="Times New Roman"/>
          <w:sz w:val="24"/>
          <w:szCs w:val="24"/>
        </w:rPr>
        <w:t>a pri</w:t>
      </w:r>
      <w:r w:rsidR="002A0C9E">
        <w:rPr>
          <w:rFonts w:ascii="Times New Roman" w:hAnsi="Times New Roman"/>
          <w:sz w:val="24"/>
          <w:szCs w:val="24"/>
        </w:rPr>
        <w:t>ncipi e ideologie sovranazionali: liberali, cattolici e socialisti</w:t>
      </w:r>
      <w:r>
        <w:rPr>
          <w:rFonts w:ascii="Times New Roman" w:hAnsi="Times New Roman"/>
          <w:sz w:val="24"/>
          <w:szCs w:val="24"/>
        </w:rPr>
        <w:t>.</w:t>
      </w:r>
      <w:r w:rsidR="000F5375">
        <w:rPr>
          <w:rFonts w:ascii="Times New Roman" w:hAnsi="Times New Roman"/>
          <w:sz w:val="24"/>
          <w:szCs w:val="24"/>
        </w:rPr>
        <w:t xml:space="preserve"> Le formazioni politiche presenti nel</w:t>
      </w:r>
      <w:r w:rsidR="00C947BB">
        <w:rPr>
          <w:rFonts w:ascii="Times New Roman" w:hAnsi="Times New Roman"/>
          <w:sz w:val="24"/>
          <w:szCs w:val="24"/>
        </w:rPr>
        <w:t xml:space="preserve"> </w:t>
      </w:r>
      <w:r w:rsidR="00C947BB" w:rsidRPr="000229B5">
        <w:rPr>
          <w:rFonts w:ascii="Times New Roman" w:hAnsi="Times New Roman"/>
          <w:i/>
          <w:sz w:val="24"/>
          <w:szCs w:val="24"/>
        </w:rPr>
        <w:t>Reichsrat</w:t>
      </w:r>
      <w:r w:rsidR="00C947BB">
        <w:rPr>
          <w:rFonts w:ascii="Times New Roman" w:hAnsi="Times New Roman"/>
          <w:sz w:val="24"/>
          <w:szCs w:val="24"/>
        </w:rPr>
        <w:t xml:space="preserve"> riuscirono</w:t>
      </w:r>
      <w:r w:rsidR="002A0C9E">
        <w:rPr>
          <w:rFonts w:ascii="Times New Roman" w:hAnsi="Times New Roman"/>
          <w:sz w:val="24"/>
          <w:szCs w:val="24"/>
        </w:rPr>
        <w:t xml:space="preserve"> </w:t>
      </w:r>
      <w:r w:rsidR="00C947BB">
        <w:rPr>
          <w:rFonts w:ascii="Times New Roman" w:hAnsi="Times New Roman"/>
          <w:sz w:val="24"/>
          <w:szCs w:val="24"/>
        </w:rPr>
        <w:t>a formare maggioranze di governo trasvers</w:t>
      </w:r>
      <w:r w:rsidR="002A0C9E">
        <w:rPr>
          <w:rFonts w:ascii="Times New Roman" w:hAnsi="Times New Roman"/>
          <w:sz w:val="24"/>
          <w:szCs w:val="24"/>
        </w:rPr>
        <w:t>ali che garantirono la governabilit</w:t>
      </w:r>
      <w:r w:rsidR="000F5375">
        <w:rPr>
          <w:rFonts w:ascii="Times New Roman" w:hAnsi="Times New Roman"/>
          <w:sz w:val="24"/>
          <w:szCs w:val="24"/>
        </w:rPr>
        <w:t>à del sistema, poggiante</w:t>
      </w:r>
      <w:r w:rsidR="00F7742A">
        <w:rPr>
          <w:rFonts w:ascii="Times New Roman" w:hAnsi="Times New Roman"/>
          <w:sz w:val="24"/>
          <w:szCs w:val="24"/>
        </w:rPr>
        <w:t xml:space="preserve"> </w:t>
      </w:r>
      <w:r w:rsidR="00DC5B5B">
        <w:rPr>
          <w:rFonts w:ascii="Times New Roman" w:hAnsi="Times New Roman"/>
          <w:sz w:val="24"/>
          <w:szCs w:val="24"/>
        </w:rPr>
        <w:t>su equilibri</w:t>
      </w:r>
      <w:r w:rsidR="000F5375">
        <w:rPr>
          <w:rFonts w:ascii="Times New Roman" w:hAnsi="Times New Roman"/>
          <w:sz w:val="24"/>
          <w:szCs w:val="24"/>
        </w:rPr>
        <w:t xml:space="preserve"> derivanti</w:t>
      </w:r>
      <w:r w:rsidR="00403E2F">
        <w:rPr>
          <w:rFonts w:ascii="Times New Roman" w:hAnsi="Times New Roman"/>
          <w:sz w:val="24"/>
          <w:szCs w:val="24"/>
        </w:rPr>
        <w:t xml:space="preserve"> soprattut</w:t>
      </w:r>
      <w:r w:rsidR="00A35C17">
        <w:rPr>
          <w:rFonts w:ascii="Times New Roman" w:hAnsi="Times New Roman"/>
          <w:sz w:val="24"/>
          <w:szCs w:val="24"/>
        </w:rPr>
        <w:t xml:space="preserve">to dalla </w:t>
      </w:r>
      <w:r w:rsidR="00FC72B9">
        <w:rPr>
          <w:rFonts w:ascii="Times New Roman" w:hAnsi="Times New Roman"/>
          <w:sz w:val="24"/>
          <w:szCs w:val="24"/>
        </w:rPr>
        <w:t>possibile cooperazione di tedeschi e cechi</w:t>
      </w:r>
      <w:r w:rsidR="00554C04">
        <w:rPr>
          <w:rFonts w:ascii="Times New Roman" w:hAnsi="Times New Roman"/>
          <w:sz w:val="24"/>
          <w:szCs w:val="24"/>
        </w:rPr>
        <w:t>. La nazionalità</w:t>
      </w:r>
      <w:r w:rsidR="00F7742A">
        <w:rPr>
          <w:rFonts w:ascii="Times New Roman" w:hAnsi="Times New Roman"/>
          <w:sz w:val="24"/>
          <w:szCs w:val="24"/>
        </w:rPr>
        <w:t xml:space="preserve"> tedesca</w:t>
      </w:r>
      <w:r w:rsidR="00554C04">
        <w:rPr>
          <w:rFonts w:ascii="Times New Roman" w:hAnsi="Times New Roman"/>
          <w:sz w:val="24"/>
          <w:szCs w:val="24"/>
        </w:rPr>
        <w:t>, maggioritari</w:t>
      </w:r>
      <w:r w:rsidR="00F51644">
        <w:rPr>
          <w:rFonts w:ascii="Times New Roman" w:hAnsi="Times New Roman"/>
          <w:sz w:val="24"/>
          <w:szCs w:val="24"/>
        </w:rPr>
        <w:t>a soltanto nei domini ereditari</w:t>
      </w:r>
      <w:r w:rsidR="00D55A3E">
        <w:rPr>
          <w:rFonts w:ascii="Times New Roman" w:hAnsi="Times New Roman"/>
          <w:sz w:val="24"/>
          <w:szCs w:val="24"/>
        </w:rPr>
        <w:t>, stabilì molto presto un’alleanza</w:t>
      </w:r>
      <w:r w:rsidR="00F7742A">
        <w:rPr>
          <w:rFonts w:ascii="Times New Roman" w:hAnsi="Times New Roman"/>
          <w:sz w:val="24"/>
          <w:szCs w:val="24"/>
        </w:rPr>
        <w:t xml:space="preserve"> con i polacchi, ai quali venne garantito il completo controllo sulla Galizia</w:t>
      </w:r>
      <w:r w:rsidR="003428FA">
        <w:rPr>
          <w:rStyle w:val="Rimandonotaapidipagina"/>
          <w:rFonts w:ascii="Times New Roman" w:hAnsi="Times New Roman"/>
          <w:sz w:val="24"/>
          <w:szCs w:val="24"/>
        </w:rPr>
        <w:footnoteReference w:id="64"/>
      </w:r>
      <w:r w:rsidR="004C749A">
        <w:rPr>
          <w:rFonts w:ascii="Times New Roman" w:hAnsi="Times New Roman"/>
          <w:sz w:val="24"/>
          <w:szCs w:val="24"/>
        </w:rPr>
        <w:t>. In cambio i polacchi</w:t>
      </w:r>
      <w:r w:rsidR="00F7742A">
        <w:rPr>
          <w:rFonts w:ascii="Times New Roman" w:hAnsi="Times New Roman"/>
          <w:sz w:val="24"/>
          <w:szCs w:val="24"/>
        </w:rPr>
        <w:t xml:space="preserve"> si impegnarono a sostenere i governi cisleithani e lo fecero con continuità, venendo gratificati an</w:t>
      </w:r>
      <w:r w:rsidR="00CF4151">
        <w:rPr>
          <w:rFonts w:ascii="Times New Roman" w:hAnsi="Times New Roman"/>
          <w:sz w:val="24"/>
          <w:szCs w:val="24"/>
        </w:rPr>
        <w:t>che dall’insediamento di due ministeri presieduti da polacchi, rispettivamente dal conte Alfred Potocki (1870-1871) e</w:t>
      </w:r>
      <w:r w:rsidR="00F7742A">
        <w:rPr>
          <w:rFonts w:ascii="Times New Roman" w:hAnsi="Times New Roman"/>
          <w:sz w:val="24"/>
          <w:szCs w:val="24"/>
        </w:rPr>
        <w:t xml:space="preserve"> dal conte Kasimierz</w:t>
      </w:r>
      <w:r w:rsidR="00DC5B5B">
        <w:rPr>
          <w:rFonts w:ascii="Times New Roman" w:hAnsi="Times New Roman"/>
          <w:sz w:val="24"/>
          <w:szCs w:val="24"/>
        </w:rPr>
        <w:t xml:space="preserve"> F.</w:t>
      </w:r>
      <w:r w:rsidR="00F7742A">
        <w:rPr>
          <w:rFonts w:ascii="Times New Roman" w:hAnsi="Times New Roman"/>
          <w:sz w:val="24"/>
          <w:szCs w:val="24"/>
        </w:rPr>
        <w:t xml:space="preserve"> Badeni</w:t>
      </w:r>
      <w:r w:rsidR="00DC5B5B">
        <w:rPr>
          <w:rFonts w:ascii="Times New Roman" w:hAnsi="Times New Roman"/>
          <w:sz w:val="24"/>
          <w:szCs w:val="24"/>
        </w:rPr>
        <w:t xml:space="preserve"> (1895-1898)</w:t>
      </w:r>
      <w:r w:rsidR="00CF4151">
        <w:rPr>
          <w:rStyle w:val="Rimandonotaapidipagina"/>
          <w:rFonts w:ascii="Times New Roman" w:hAnsi="Times New Roman"/>
          <w:sz w:val="24"/>
          <w:szCs w:val="24"/>
        </w:rPr>
        <w:footnoteReference w:id="65"/>
      </w:r>
      <w:r w:rsidR="00F7742A">
        <w:rPr>
          <w:rFonts w:ascii="Times New Roman" w:hAnsi="Times New Roman"/>
          <w:sz w:val="24"/>
          <w:szCs w:val="24"/>
        </w:rPr>
        <w:t xml:space="preserve">. </w:t>
      </w:r>
      <w:r w:rsidR="00554C04">
        <w:rPr>
          <w:rFonts w:ascii="Times New Roman" w:hAnsi="Times New Roman"/>
          <w:sz w:val="24"/>
          <w:szCs w:val="24"/>
        </w:rPr>
        <w:t>Il focolaio pi</w:t>
      </w:r>
      <w:r w:rsidR="00AD3952">
        <w:rPr>
          <w:rFonts w:ascii="Times New Roman" w:hAnsi="Times New Roman"/>
          <w:sz w:val="24"/>
          <w:szCs w:val="24"/>
        </w:rPr>
        <w:t>ù acuto di conflitto nazionale</w:t>
      </w:r>
      <w:r w:rsidR="00400EEC">
        <w:rPr>
          <w:rFonts w:ascii="Times New Roman" w:hAnsi="Times New Roman"/>
          <w:sz w:val="24"/>
          <w:szCs w:val="24"/>
        </w:rPr>
        <w:t xml:space="preserve"> rimase</w:t>
      </w:r>
      <w:r w:rsidR="00554C04">
        <w:rPr>
          <w:rFonts w:ascii="Times New Roman" w:hAnsi="Times New Roman"/>
          <w:sz w:val="24"/>
          <w:szCs w:val="24"/>
        </w:rPr>
        <w:t xml:space="preserve"> la </w:t>
      </w:r>
      <w:r w:rsidR="00554C04">
        <w:rPr>
          <w:rFonts w:ascii="Times New Roman" w:hAnsi="Times New Roman"/>
          <w:sz w:val="24"/>
          <w:szCs w:val="24"/>
        </w:rPr>
        <w:lastRenderedPageBreak/>
        <w:t>Boemia, dove i cechi riuscirono anche con il parziale contributo della nobiltà locale</w:t>
      </w:r>
      <w:r w:rsidR="00554C04">
        <w:rPr>
          <w:rStyle w:val="Rimandonotaapidipagina"/>
          <w:rFonts w:ascii="Times New Roman" w:hAnsi="Times New Roman"/>
          <w:sz w:val="24"/>
          <w:szCs w:val="24"/>
        </w:rPr>
        <w:footnoteReference w:id="66"/>
      </w:r>
      <w:r w:rsidR="00554C04">
        <w:rPr>
          <w:rFonts w:ascii="Times New Roman" w:hAnsi="Times New Roman"/>
          <w:sz w:val="24"/>
          <w:szCs w:val="24"/>
        </w:rPr>
        <w:t xml:space="preserve"> a prevalere sull’</w:t>
      </w:r>
      <w:r w:rsidR="00F8097F">
        <w:rPr>
          <w:rFonts w:ascii="Times New Roman" w:hAnsi="Times New Roman"/>
          <w:sz w:val="24"/>
          <w:szCs w:val="24"/>
        </w:rPr>
        <w:t>elem</w:t>
      </w:r>
      <w:r w:rsidR="001A0DD9">
        <w:rPr>
          <w:rFonts w:ascii="Times New Roman" w:hAnsi="Times New Roman"/>
          <w:sz w:val="24"/>
          <w:szCs w:val="24"/>
        </w:rPr>
        <w:t xml:space="preserve">ento tedesco </w:t>
      </w:r>
      <w:r w:rsidR="00F8097F">
        <w:rPr>
          <w:rFonts w:ascii="Times New Roman" w:hAnsi="Times New Roman"/>
          <w:sz w:val="24"/>
          <w:szCs w:val="24"/>
        </w:rPr>
        <w:t>nei territori della corona boema. La fondazione della nuova Università ceca a Praga nel 1882 andava nella direzione di a</w:t>
      </w:r>
      <w:r w:rsidR="00B34874">
        <w:rPr>
          <w:rFonts w:ascii="Times New Roman" w:hAnsi="Times New Roman"/>
          <w:sz w:val="24"/>
          <w:szCs w:val="24"/>
        </w:rPr>
        <w:t>umentare il numero di burocrati nel servizio pubblico,</w:t>
      </w:r>
      <w:r w:rsidR="00F8097F">
        <w:rPr>
          <w:rFonts w:ascii="Times New Roman" w:hAnsi="Times New Roman"/>
          <w:sz w:val="24"/>
          <w:szCs w:val="24"/>
        </w:rPr>
        <w:t xml:space="preserve"> </w:t>
      </w:r>
      <w:r w:rsidR="00AD3952">
        <w:rPr>
          <w:rFonts w:ascii="Times New Roman" w:hAnsi="Times New Roman"/>
          <w:sz w:val="24"/>
          <w:szCs w:val="24"/>
        </w:rPr>
        <w:t xml:space="preserve">ma serviva anche l’interesse dello sviluppo di un ceto impiegatizio nazionale ceco, </w:t>
      </w:r>
      <w:r w:rsidR="00F8097F">
        <w:rPr>
          <w:rFonts w:ascii="Times New Roman" w:hAnsi="Times New Roman"/>
          <w:sz w:val="24"/>
          <w:szCs w:val="24"/>
        </w:rPr>
        <w:t>in gra</w:t>
      </w:r>
      <w:r w:rsidR="00B34874">
        <w:rPr>
          <w:rFonts w:ascii="Times New Roman" w:hAnsi="Times New Roman"/>
          <w:sz w:val="24"/>
          <w:szCs w:val="24"/>
        </w:rPr>
        <w:t>do di svolgere le proprie ma</w:t>
      </w:r>
      <w:r w:rsidR="00AD3952">
        <w:rPr>
          <w:rFonts w:ascii="Times New Roman" w:hAnsi="Times New Roman"/>
          <w:sz w:val="24"/>
          <w:szCs w:val="24"/>
        </w:rPr>
        <w:t>nsioni servendosi tanto del tedesco che della propria lingua</w:t>
      </w:r>
      <w:r w:rsidR="00B34874">
        <w:rPr>
          <w:rFonts w:ascii="Times New Roman" w:hAnsi="Times New Roman"/>
          <w:sz w:val="24"/>
          <w:szCs w:val="24"/>
        </w:rPr>
        <w:t xml:space="preserve">. </w:t>
      </w:r>
      <w:r w:rsidR="009764F3">
        <w:rPr>
          <w:rFonts w:ascii="Times New Roman" w:hAnsi="Times New Roman"/>
          <w:sz w:val="24"/>
          <w:szCs w:val="24"/>
        </w:rPr>
        <w:t>Cechi e tedeschi erano rivali in materia di istruzione e rappresentanza nazionale nelle terre ceche (Boemia, Moravia e Slesia), nonché in Austria inferiore, dove</w:t>
      </w:r>
      <w:r w:rsidR="001F7BE4">
        <w:rPr>
          <w:rFonts w:ascii="Times New Roman" w:hAnsi="Times New Roman"/>
          <w:sz w:val="24"/>
          <w:szCs w:val="24"/>
        </w:rPr>
        <w:t xml:space="preserve"> i cechi</w:t>
      </w:r>
      <w:r w:rsidR="009764F3">
        <w:rPr>
          <w:rFonts w:ascii="Times New Roman" w:hAnsi="Times New Roman"/>
          <w:sz w:val="24"/>
          <w:szCs w:val="24"/>
        </w:rPr>
        <w:t xml:space="preserve"> costituivano una</w:t>
      </w:r>
      <w:r w:rsidR="00363CFF">
        <w:rPr>
          <w:rFonts w:ascii="Times New Roman" w:hAnsi="Times New Roman"/>
          <w:sz w:val="24"/>
          <w:szCs w:val="24"/>
        </w:rPr>
        <w:t xml:space="preserve"> cospicua presenza come immigrati</w:t>
      </w:r>
      <w:r w:rsidR="009764F3">
        <w:rPr>
          <w:rFonts w:ascii="Times New Roman" w:hAnsi="Times New Roman"/>
          <w:sz w:val="24"/>
          <w:szCs w:val="24"/>
        </w:rPr>
        <w:t xml:space="preserve">. Le Diete locali e il </w:t>
      </w:r>
      <w:r w:rsidR="009764F3" w:rsidRPr="009764F3">
        <w:rPr>
          <w:rFonts w:ascii="Times New Roman" w:hAnsi="Times New Roman"/>
          <w:i/>
          <w:sz w:val="24"/>
          <w:szCs w:val="24"/>
        </w:rPr>
        <w:t>Reichsrat</w:t>
      </w:r>
      <w:r w:rsidR="005E67A2">
        <w:rPr>
          <w:rFonts w:ascii="Times New Roman" w:hAnsi="Times New Roman"/>
          <w:sz w:val="24"/>
          <w:szCs w:val="24"/>
        </w:rPr>
        <w:t xml:space="preserve"> fungevano da</w:t>
      </w:r>
      <w:r w:rsidR="009764F3">
        <w:rPr>
          <w:rFonts w:ascii="Times New Roman" w:hAnsi="Times New Roman"/>
          <w:sz w:val="24"/>
          <w:szCs w:val="24"/>
        </w:rPr>
        <w:t xml:space="preserve"> arene politiche di confronto e scontro, nelle quali i moderati si battevano per accordi che le frange radicali dell’una e dell’altra nazi</w:t>
      </w:r>
      <w:r w:rsidR="005E67A2">
        <w:rPr>
          <w:rFonts w:ascii="Times New Roman" w:hAnsi="Times New Roman"/>
          <w:sz w:val="24"/>
          <w:szCs w:val="24"/>
        </w:rPr>
        <w:t>onalità contribuivano</w:t>
      </w:r>
      <w:r w:rsidR="00151FE6">
        <w:rPr>
          <w:rFonts w:ascii="Times New Roman" w:hAnsi="Times New Roman"/>
          <w:sz w:val="24"/>
          <w:szCs w:val="24"/>
        </w:rPr>
        <w:t xml:space="preserve"> spesso</w:t>
      </w:r>
      <w:r w:rsidR="005E67A2">
        <w:rPr>
          <w:rFonts w:ascii="Times New Roman" w:hAnsi="Times New Roman"/>
          <w:sz w:val="24"/>
          <w:szCs w:val="24"/>
        </w:rPr>
        <w:t xml:space="preserve"> a </w:t>
      </w:r>
      <w:r w:rsidR="009764F3">
        <w:rPr>
          <w:rFonts w:ascii="Times New Roman" w:hAnsi="Times New Roman"/>
          <w:sz w:val="24"/>
          <w:szCs w:val="24"/>
        </w:rPr>
        <w:t>vani</w:t>
      </w:r>
      <w:r w:rsidR="005E67A2">
        <w:rPr>
          <w:rFonts w:ascii="Times New Roman" w:hAnsi="Times New Roman"/>
          <w:sz w:val="24"/>
          <w:szCs w:val="24"/>
        </w:rPr>
        <w:t>ficare</w:t>
      </w:r>
      <w:r w:rsidR="009764F3">
        <w:rPr>
          <w:rFonts w:ascii="Times New Roman" w:hAnsi="Times New Roman"/>
          <w:sz w:val="24"/>
          <w:szCs w:val="24"/>
        </w:rPr>
        <w:t>. Forti della loro rinascita culturale, dell</w:t>
      </w:r>
      <w:r w:rsidR="009764F3" w:rsidRPr="009764F3">
        <w:rPr>
          <w:rFonts w:ascii="Times New Roman" w:hAnsi="Times New Roman"/>
          <w:sz w:val="24"/>
          <w:szCs w:val="24"/>
        </w:rPr>
        <w:t>’urbanizzazione e della prosperit</w:t>
      </w:r>
      <w:r w:rsidR="00257950">
        <w:rPr>
          <w:rFonts w:ascii="Times New Roman" w:hAnsi="Times New Roman"/>
          <w:sz w:val="24"/>
          <w:szCs w:val="24"/>
        </w:rPr>
        <w:t>à economica</w:t>
      </w:r>
      <w:r w:rsidR="009764F3">
        <w:rPr>
          <w:rFonts w:ascii="Times New Roman" w:hAnsi="Times New Roman"/>
          <w:sz w:val="24"/>
          <w:szCs w:val="24"/>
        </w:rPr>
        <w:t>, i cech</w:t>
      </w:r>
      <w:r w:rsidR="00363CFF">
        <w:rPr>
          <w:rFonts w:ascii="Times New Roman" w:hAnsi="Times New Roman"/>
          <w:sz w:val="24"/>
          <w:szCs w:val="24"/>
        </w:rPr>
        <w:t>i lottavano per acquisire il controllo</w:t>
      </w:r>
      <w:r w:rsidR="009764F3">
        <w:rPr>
          <w:rFonts w:ascii="Times New Roman" w:hAnsi="Times New Roman"/>
          <w:sz w:val="24"/>
          <w:szCs w:val="24"/>
        </w:rPr>
        <w:t xml:space="preserve"> nel regno di San Venceslao ed estendere i lor</w:t>
      </w:r>
      <w:r w:rsidR="00363CFF">
        <w:rPr>
          <w:rFonts w:ascii="Times New Roman" w:hAnsi="Times New Roman"/>
          <w:sz w:val="24"/>
          <w:szCs w:val="24"/>
        </w:rPr>
        <w:t>o diritti nazionali all’esterno. Il confronto con le Diete austriache in materia di diritti linguistici e culturali era reso più serrato dalla stessa ambiguità costituzionale: non era infatti chiaro se i pari diritti fossero da intendersi in senso indiv</w:t>
      </w:r>
      <w:r w:rsidR="00257950">
        <w:rPr>
          <w:rFonts w:ascii="Times New Roman" w:hAnsi="Times New Roman"/>
          <w:sz w:val="24"/>
          <w:szCs w:val="24"/>
        </w:rPr>
        <w:t>iduale o nazionale, una questione</w:t>
      </w:r>
      <w:r w:rsidR="00363CFF">
        <w:rPr>
          <w:rFonts w:ascii="Times New Roman" w:hAnsi="Times New Roman"/>
          <w:sz w:val="24"/>
          <w:szCs w:val="24"/>
        </w:rPr>
        <w:t xml:space="preserve"> che spostava l’interpretazione nel campo della politica dando origine a ripetute trattati</w:t>
      </w:r>
      <w:r w:rsidR="007201B0">
        <w:rPr>
          <w:rFonts w:ascii="Times New Roman" w:hAnsi="Times New Roman"/>
          <w:sz w:val="24"/>
          <w:szCs w:val="24"/>
        </w:rPr>
        <w:t>ve fra cechi e tedeschi</w:t>
      </w:r>
      <w:r w:rsidR="00363CFF">
        <w:rPr>
          <w:rFonts w:ascii="Times New Roman" w:hAnsi="Times New Roman"/>
          <w:sz w:val="24"/>
          <w:szCs w:val="24"/>
        </w:rPr>
        <w:t xml:space="preserve">. </w:t>
      </w:r>
      <w:r w:rsidR="007201B0">
        <w:rPr>
          <w:rFonts w:ascii="Times New Roman" w:hAnsi="Times New Roman"/>
          <w:sz w:val="24"/>
          <w:szCs w:val="24"/>
        </w:rPr>
        <w:t xml:space="preserve">I </w:t>
      </w:r>
      <w:r w:rsidR="005E67A2">
        <w:rPr>
          <w:rFonts w:ascii="Times New Roman" w:hAnsi="Times New Roman"/>
          <w:sz w:val="24"/>
          <w:szCs w:val="24"/>
        </w:rPr>
        <w:t>diversi governi tentarono l’ardua via</w:t>
      </w:r>
      <w:r w:rsidR="007201B0">
        <w:rPr>
          <w:rFonts w:ascii="Times New Roman" w:hAnsi="Times New Roman"/>
          <w:sz w:val="24"/>
          <w:szCs w:val="24"/>
        </w:rPr>
        <w:t xml:space="preserve"> del compromesso con</w:t>
      </w:r>
      <w:r w:rsidR="005E67A2">
        <w:rPr>
          <w:rFonts w:ascii="Times New Roman" w:hAnsi="Times New Roman"/>
          <w:sz w:val="24"/>
          <w:szCs w:val="24"/>
        </w:rPr>
        <w:t xml:space="preserve"> i nazionalisti moderati, </w:t>
      </w:r>
      <w:r w:rsidR="007201B0">
        <w:rPr>
          <w:rFonts w:ascii="Times New Roman" w:hAnsi="Times New Roman"/>
          <w:sz w:val="24"/>
          <w:szCs w:val="24"/>
        </w:rPr>
        <w:t>nel crescente coinvo</w:t>
      </w:r>
      <w:r w:rsidR="005E67A2">
        <w:rPr>
          <w:rFonts w:ascii="Times New Roman" w:hAnsi="Times New Roman"/>
          <w:sz w:val="24"/>
          <w:szCs w:val="24"/>
        </w:rPr>
        <w:t>lgimento delle masse mobilitate da</w:t>
      </w:r>
      <w:r w:rsidR="007201B0">
        <w:rPr>
          <w:rFonts w:ascii="Times New Roman" w:hAnsi="Times New Roman"/>
          <w:sz w:val="24"/>
          <w:szCs w:val="24"/>
        </w:rPr>
        <w:t>i radicali più intransigenti</w:t>
      </w:r>
      <w:r w:rsidR="007201B0">
        <w:rPr>
          <w:rStyle w:val="Rimandonotaapidipagina"/>
          <w:rFonts w:ascii="Times New Roman" w:hAnsi="Times New Roman"/>
          <w:sz w:val="24"/>
          <w:szCs w:val="24"/>
        </w:rPr>
        <w:footnoteReference w:id="67"/>
      </w:r>
      <w:r w:rsidR="007201B0">
        <w:rPr>
          <w:rFonts w:ascii="Times New Roman" w:hAnsi="Times New Roman"/>
          <w:sz w:val="24"/>
          <w:szCs w:val="24"/>
        </w:rPr>
        <w:t>. I tedeschi dell’Austria ostacolarono i cechi nel raggiungimento della pie</w:t>
      </w:r>
      <w:r w:rsidR="00F5400D">
        <w:rPr>
          <w:rFonts w:ascii="Times New Roman" w:hAnsi="Times New Roman"/>
          <w:sz w:val="24"/>
          <w:szCs w:val="24"/>
        </w:rPr>
        <w:t>na uguaglianza, ma questi</w:t>
      </w:r>
      <w:r w:rsidR="00257950">
        <w:rPr>
          <w:rFonts w:ascii="Times New Roman" w:hAnsi="Times New Roman"/>
          <w:sz w:val="24"/>
          <w:szCs w:val="24"/>
        </w:rPr>
        <w:t xml:space="preserve"> continuarono a battersi</w:t>
      </w:r>
      <w:r w:rsidR="00F5400D">
        <w:rPr>
          <w:rFonts w:ascii="Times New Roman" w:hAnsi="Times New Roman"/>
          <w:sz w:val="24"/>
          <w:szCs w:val="24"/>
        </w:rPr>
        <w:t xml:space="preserve"> anche dopo il 1903, quando cadde la loro ultima proposta di trasformazione federale della Monarchia</w:t>
      </w:r>
      <w:r w:rsidR="002621F3">
        <w:rPr>
          <w:rStyle w:val="Rimandonotaapidipagina"/>
          <w:rFonts w:ascii="Times New Roman" w:hAnsi="Times New Roman"/>
          <w:sz w:val="24"/>
          <w:szCs w:val="24"/>
        </w:rPr>
        <w:footnoteReference w:id="68"/>
      </w:r>
      <w:r w:rsidR="00F5400D">
        <w:rPr>
          <w:rFonts w:ascii="Times New Roman" w:hAnsi="Times New Roman"/>
          <w:sz w:val="24"/>
          <w:szCs w:val="24"/>
        </w:rPr>
        <w:t>,</w:t>
      </w:r>
      <w:r w:rsidR="007201B0">
        <w:rPr>
          <w:rFonts w:ascii="Times New Roman" w:hAnsi="Times New Roman"/>
          <w:sz w:val="24"/>
          <w:szCs w:val="24"/>
        </w:rPr>
        <w:t xml:space="preserve"> nella convinzione che </w:t>
      </w:r>
      <w:r w:rsidR="00D60602">
        <w:rPr>
          <w:rFonts w:ascii="Times New Roman" w:hAnsi="Times New Roman"/>
          <w:sz w:val="24"/>
          <w:szCs w:val="24"/>
        </w:rPr>
        <w:t xml:space="preserve">il futuro dell’impero appartenesse alle nazionalità </w:t>
      </w:r>
      <w:r w:rsidR="00257950">
        <w:rPr>
          <w:rFonts w:ascii="Times New Roman" w:hAnsi="Times New Roman"/>
          <w:sz w:val="24"/>
          <w:szCs w:val="24"/>
        </w:rPr>
        <w:t>slave</w:t>
      </w:r>
      <w:r w:rsidR="00D60602">
        <w:rPr>
          <w:rStyle w:val="Rimandonotaapidipagina"/>
          <w:rFonts w:ascii="Times New Roman" w:hAnsi="Times New Roman"/>
          <w:sz w:val="24"/>
          <w:szCs w:val="24"/>
        </w:rPr>
        <w:footnoteReference w:id="69"/>
      </w:r>
      <w:r w:rsidR="00D60602">
        <w:rPr>
          <w:rFonts w:ascii="Times New Roman" w:hAnsi="Times New Roman"/>
          <w:sz w:val="24"/>
          <w:szCs w:val="24"/>
        </w:rPr>
        <w:t xml:space="preserve">. </w:t>
      </w:r>
      <w:r w:rsidR="007201B0">
        <w:rPr>
          <w:rFonts w:ascii="Times New Roman" w:hAnsi="Times New Roman"/>
          <w:sz w:val="24"/>
          <w:szCs w:val="24"/>
        </w:rPr>
        <w:t xml:space="preserve"> </w:t>
      </w:r>
      <w:r w:rsidR="009764F3">
        <w:rPr>
          <w:rFonts w:ascii="Times New Roman" w:hAnsi="Times New Roman"/>
          <w:sz w:val="24"/>
          <w:szCs w:val="24"/>
        </w:rPr>
        <w:t xml:space="preserve"> </w:t>
      </w:r>
    </w:p>
    <w:p w14:paraId="7BA042CF" w14:textId="72DA5397" w:rsidR="00C201B7" w:rsidRDefault="000F5375" w:rsidP="009664DC">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 xml:space="preserve">I gruppi nazionali erano comunque </w:t>
      </w:r>
      <w:r w:rsidR="00403E2F">
        <w:rPr>
          <w:rFonts w:ascii="Times New Roman" w:hAnsi="Times New Roman"/>
          <w:sz w:val="24"/>
          <w:szCs w:val="24"/>
        </w:rPr>
        <w:t>interes</w:t>
      </w:r>
      <w:r w:rsidR="004C3BA0">
        <w:rPr>
          <w:rFonts w:ascii="Times New Roman" w:hAnsi="Times New Roman"/>
          <w:sz w:val="24"/>
          <w:szCs w:val="24"/>
        </w:rPr>
        <w:t>sati a guadagnarsi l’appoggio della casa regnante nel difendere la propria specificità linguistica e</w:t>
      </w:r>
      <w:r w:rsidR="001F7BE4">
        <w:rPr>
          <w:rFonts w:ascii="Times New Roman" w:hAnsi="Times New Roman"/>
          <w:sz w:val="24"/>
          <w:szCs w:val="24"/>
        </w:rPr>
        <w:t xml:space="preserve"> culturale e nel</w:t>
      </w:r>
      <w:r w:rsidR="002421EE">
        <w:rPr>
          <w:rFonts w:ascii="Times New Roman" w:hAnsi="Times New Roman"/>
          <w:sz w:val="24"/>
          <w:szCs w:val="24"/>
        </w:rPr>
        <w:t xml:space="preserve"> consolidare </w:t>
      </w:r>
      <w:r w:rsidR="00E656C7">
        <w:rPr>
          <w:rFonts w:ascii="Times New Roman" w:hAnsi="Times New Roman"/>
          <w:sz w:val="24"/>
          <w:szCs w:val="24"/>
        </w:rPr>
        <w:t>la propria preminenza</w:t>
      </w:r>
      <w:r w:rsidR="004C3BA0">
        <w:rPr>
          <w:rFonts w:ascii="Times New Roman" w:hAnsi="Times New Roman"/>
          <w:sz w:val="24"/>
          <w:szCs w:val="24"/>
        </w:rPr>
        <w:t xml:space="preserve"> nei territori che consid</w:t>
      </w:r>
      <w:r w:rsidR="003C7D9B">
        <w:rPr>
          <w:rFonts w:ascii="Times New Roman" w:hAnsi="Times New Roman"/>
          <w:sz w:val="24"/>
          <w:szCs w:val="24"/>
        </w:rPr>
        <w:t>eravano la loro</w:t>
      </w:r>
      <w:r w:rsidR="004C3BA0">
        <w:rPr>
          <w:rFonts w:ascii="Times New Roman" w:hAnsi="Times New Roman"/>
          <w:sz w:val="24"/>
          <w:szCs w:val="24"/>
        </w:rPr>
        <w:t xml:space="preserve"> patria</w:t>
      </w:r>
      <w:r w:rsidR="00AE25F3">
        <w:rPr>
          <w:rFonts w:ascii="Times New Roman" w:hAnsi="Times New Roman"/>
          <w:sz w:val="24"/>
          <w:szCs w:val="24"/>
        </w:rPr>
        <w:t xml:space="preserve">. </w:t>
      </w:r>
      <w:r w:rsidR="00346C9A">
        <w:rPr>
          <w:rFonts w:ascii="Times New Roman" w:hAnsi="Times New Roman"/>
          <w:sz w:val="24"/>
          <w:szCs w:val="24"/>
        </w:rPr>
        <w:t xml:space="preserve">Le frequenti crisi di governo, particolarmente ricorrenti negli anni dal 1895 al 1914, furono compensate dalla relativa efficienza del sistema burocratico </w:t>
      </w:r>
      <w:r w:rsidR="00112E04">
        <w:rPr>
          <w:rFonts w:ascii="Times New Roman" w:hAnsi="Times New Roman"/>
          <w:sz w:val="24"/>
          <w:szCs w:val="24"/>
        </w:rPr>
        <w:t>e</w:t>
      </w:r>
      <w:r w:rsidR="00346C9A">
        <w:rPr>
          <w:rFonts w:ascii="Times New Roman" w:hAnsi="Times New Roman"/>
          <w:sz w:val="24"/>
          <w:szCs w:val="24"/>
        </w:rPr>
        <w:t xml:space="preserve"> dei pubblici funzion</w:t>
      </w:r>
      <w:r w:rsidR="00112E04">
        <w:rPr>
          <w:rFonts w:ascii="Times New Roman" w:hAnsi="Times New Roman"/>
          <w:sz w:val="24"/>
          <w:szCs w:val="24"/>
        </w:rPr>
        <w:t>ari</w:t>
      </w:r>
      <w:r w:rsidR="00346C9A">
        <w:rPr>
          <w:rFonts w:ascii="Times New Roman" w:hAnsi="Times New Roman"/>
          <w:sz w:val="24"/>
          <w:szCs w:val="24"/>
        </w:rPr>
        <w:t xml:space="preserve">. </w:t>
      </w:r>
      <w:commentRangeStart w:id="94"/>
      <w:commentRangeStart w:id="95"/>
      <w:r w:rsidR="00C947BB">
        <w:rPr>
          <w:rFonts w:ascii="Times New Roman" w:hAnsi="Times New Roman"/>
          <w:sz w:val="24"/>
          <w:szCs w:val="24"/>
        </w:rPr>
        <w:t>La so</w:t>
      </w:r>
      <w:r w:rsidR="00345CD7">
        <w:rPr>
          <w:rFonts w:ascii="Times New Roman" w:hAnsi="Times New Roman"/>
          <w:sz w:val="24"/>
          <w:szCs w:val="24"/>
        </w:rPr>
        <w:t>luzione dualistica</w:t>
      </w:r>
      <w:r w:rsidR="00E8673D">
        <w:rPr>
          <w:rFonts w:ascii="Times New Roman" w:hAnsi="Times New Roman"/>
          <w:sz w:val="24"/>
          <w:szCs w:val="24"/>
        </w:rPr>
        <w:t xml:space="preserve"> si dimostrò adeguata a sostenere lo sviluppo economico dell’impero, alle prese con la prima autentica modernizzazione: l’ingresso del</w:t>
      </w:r>
      <w:r w:rsidR="00C947BB">
        <w:rPr>
          <w:rFonts w:ascii="Times New Roman" w:hAnsi="Times New Roman"/>
          <w:sz w:val="24"/>
          <w:szCs w:val="24"/>
        </w:rPr>
        <w:t xml:space="preserve"> capitalismo e </w:t>
      </w:r>
      <w:r w:rsidR="00E8673D">
        <w:rPr>
          <w:rFonts w:ascii="Times New Roman" w:hAnsi="Times New Roman"/>
          <w:sz w:val="24"/>
          <w:szCs w:val="24"/>
        </w:rPr>
        <w:t xml:space="preserve">la nascita di un apparato </w:t>
      </w:r>
      <w:r w:rsidR="00C947BB">
        <w:rPr>
          <w:rFonts w:ascii="Times New Roman" w:hAnsi="Times New Roman"/>
          <w:sz w:val="24"/>
          <w:szCs w:val="24"/>
        </w:rPr>
        <w:t>indust</w:t>
      </w:r>
      <w:r w:rsidR="00EE0A7A">
        <w:rPr>
          <w:rFonts w:ascii="Times New Roman" w:hAnsi="Times New Roman"/>
          <w:sz w:val="24"/>
          <w:szCs w:val="24"/>
        </w:rPr>
        <w:t>ria</w:t>
      </w:r>
      <w:r w:rsidR="004C3BA0">
        <w:rPr>
          <w:rFonts w:ascii="Times New Roman" w:hAnsi="Times New Roman"/>
          <w:sz w:val="24"/>
          <w:szCs w:val="24"/>
        </w:rPr>
        <w:t xml:space="preserve">le, concentrato </w:t>
      </w:r>
      <w:r w:rsidR="004C3BA0">
        <w:rPr>
          <w:rFonts w:ascii="Times New Roman" w:hAnsi="Times New Roman"/>
          <w:sz w:val="24"/>
          <w:szCs w:val="24"/>
        </w:rPr>
        <w:lastRenderedPageBreak/>
        <w:t xml:space="preserve">in Boemia e nell’Austria superiore, </w:t>
      </w:r>
      <w:r w:rsidR="00EE0A7A">
        <w:rPr>
          <w:rFonts w:ascii="Times New Roman" w:hAnsi="Times New Roman"/>
          <w:sz w:val="24"/>
          <w:szCs w:val="24"/>
        </w:rPr>
        <w:t>fece</w:t>
      </w:r>
      <w:r w:rsidR="00E8673D">
        <w:rPr>
          <w:rFonts w:ascii="Times New Roman" w:hAnsi="Times New Roman"/>
          <w:sz w:val="24"/>
          <w:szCs w:val="24"/>
        </w:rPr>
        <w:t>ro</w:t>
      </w:r>
      <w:r w:rsidR="00EE0A7A">
        <w:rPr>
          <w:rFonts w:ascii="Times New Roman" w:hAnsi="Times New Roman"/>
          <w:sz w:val="24"/>
          <w:szCs w:val="24"/>
        </w:rPr>
        <w:t xml:space="preserve"> delle due parti della m</w:t>
      </w:r>
      <w:r w:rsidR="00C947BB">
        <w:rPr>
          <w:rFonts w:ascii="Times New Roman" w:hAnsi="Times New Roman"/>
          <w:sz w:val="24"/>
          <w:szCs w:val="24"/>
        </w:rPr>
        <w:t>onarchia un complesso reciprocamente integrato</w:t>
      </w:r>
      <w:commentRangeEnd w:id="94"/>
      <w:r w:rsidR="00EE0A7A">
        <w:rPr>
          <w:rStyle w:val="Rimandocommento"/>
        </w:rPr>
        <w:commentReference w:id="94"/>
      </w:r>
      <w:commentRangeEnd w:id="95"/>
      <w:r w:rsidR="00D568A6">
        <w:rPr>
          <w:rStyle w:val="Rimandocommento"/>
        </w:rPr>
        <w:commentReference w:id="95"/>
      </w:r>
      <w:r w:rsidR="00C947BB">
        <w:rPr>
          <w:rStyle w:val="Rimandonotaapidipagina"/>
          <w:rFonts w:ascii="Times New Roman" w:hAnsi="Times New Roman"/>
          <w:sz w:val="24"/>
          <w:szCs w:val="24"/>
        </w:rPr>
        <w:footnoteReference w:id="70"/>
      </w:r>
      <w:r w:rsidR="00E8673D">
        <w:rPr>
          <w:rFonts w:ascii="Times New Roman" w:hAnsi="Times New Roman"/>
          <w:sz w:val="24"/>
          <w:szCs w:val="24"/>
        </w:rPr>
        <w:t>. I pregiati p</w:t>
      </w:r>
      <w:r w:rsidR="00C947BB">
        <w:rPr>
          <w:rFonts w:ascii="Times New Roman" w:hAnsi="Times New Roman"/>
          <w:sz w:val="24"/>
          <w:szCs w:val="24"/>
        </w:rPr>
        <w:t>rodotti dell</w:t>
      </w:r>
      <w:r w:rsidR="00CE6626">
        <w:rPr>
          <w:rFonts w:ascii="Times New Roman" w:hAnsi="Times New Roman"/>
          <w:sz w:val="24"/>
          <w:szCs w:val="24"/>
        </w:rPr>
        <w:t>’agricoltura ungherese –</w:t>
      </w:r>
      <w:r w:rsidR="00C947BB" w:rsidRPr="001B53D2">
        <w:rPr>
          <w:rFonts w:ascii="Times New Roman" w:hAnsi="Times New Roman"/>
          <w:sz w:val="24"/>
          <w:szCs w:val="24"/>
        </w:rPr>
        <w:t xml:space="preserve"> gestita in manie</w:t>
      </w:r>
      <w:r w:rsidR="00E8673D">
        <w:rPr>
          <w:rFonts w:ascii="Times New Roman" w:hAnsi="Times New Roman"/>
          <w:sz w:val="24"/>
          <w:szCs w:val="24"/>
        </w:rPr>
        <w:t>ra capitalistica dai grandi proprietari terri</w:t>
      </w:r>
      <w:r w:rsidR="003C7D9B">
        <w:rPr>
          <w:rFonts w:ascii="Times New Roman" w:hAnsi="Times New Roman"/>
          <w:sz w:val="24"/>
          <w:szCs w:val="24"/>
        </w:rPr>
        <w:t>eri</w:t>
      </w:r>
      <w:r w:rsidR="00CE6626">
        <w:rPr>
          <w:rFonts w:ascii="Times New Roman" w:hAnsi="Times New Roman"/>
          <w:sz w:val="24"/>
          <w:szCs w:val="24"/>
        </w:rPr>
        <w:t xml:space="preserve"> –</w:t>
      </w:r>
      <w:r w:rsidR="00C947BB">
        <w:rPr>
          <w:rFonts w:ascii="Times New Roman" w:hAnsi="Times New Roman"/>
          <w:sz w:val="24"/>
          <w:szCs w:val="24"/>
        </w:rPr>
        <w:t xml:space="preserve"> trovarono il lor</w:t>
      </w:r>
      <w:r w:rsidR="00C14862">
        <w:rPr>
          <w:rFonts w:ascii="Times New Roman" w:hAnsi="Times New Roman"/>
          <w:sz w:val="24"/>
          <w:szCs w:val="24"/>
        </w:rPr>
        <w:t>o mercato ideale</w:t>
      </w:r>
      <w:r w:rsidR="00257950">
        <w:rPr>
          <w:rFonts w:ascii="Times New Roman" w:hAnsi="Times New Roman"/>
          <w:sz w:val="24"/>
          <w:szCs w:val="24"/>
        </w:rPr>
        <w:t xml:space="preserve"> in</w:t>
      </w:r>
      <w:r w:rsidR="00C14862">
        <w:rPr>
          <w:rFonts w:ascii="Times New Roman" w:hAnsi="Times New Roman"/>
          <w:sz w:val="24"/>
          <w:szCs w:val="24"/>
        </w:rPr>
        <w:t xml:space="preserve"> Austria</w:t>
      </w:r>
      <w:r w:rsidR="00C947BB">
        <w:rPr>
          <w:rFonts w:ascii="Times New Roman" w:hAnsi="Times New Roman"/>
          <w:sz w:val="24"/>
          <w:szCs w:val="24"/>
        </w:rPr>
        <w:t>, mentre i prodotti industriali austriaci e boemi potevano riversarsi in Ungheria.</w:t>
      </w:r>
      <w:r w:rsidR="00AE25F3">
        <w:rPr>
          <w:rFonts w:ascii="Times New Roman" w:hAnsi="Times New Roman"/>
          <w:sz w:val="24"/>
          <w:szCs w:val="24"/>
        </w:rPr>
        <w:t xml:space="preserve"> </w:t>
      </w:r>
      <w:r w:rsidR="00C201B7">
        <w:rPr>
          <w:rFonts w:ascii="Times New Roman" w:hAnsi="Times New Roman"/>
          <w:sz w:val="24"/>
          <w:szCs w:val="24"/>
        </w:rPr>
        <w:t>Lo sviluppo capitalistico in Transleithania mirava a creare un</w:t>
      </w:r>
      <w:r w:rsidR="00C201B7" w:rsidRPr="001B53D2">
        <w:rPr>
          <w:rFonts w:ascii="Times New Roman" w:hAnsi="Times New Roman"/>
          <w:sz w:val="24"/>
          <w:szCs w:val="24"/>
        </w:rPr>
        <w:t>’industria</w:t>
      </w:r>
      <w:r w:rsidR="00C201B7">
        <w:rPr>
          <w:rFonts w:ascii="Times New Roman" w:hAnsi="Times New Roman"/>
          <w:sz w:val="24"/>
          <w:szCs w:val="24"/>
        </w:rPr>
        <w:t xml:space="preserve"> pesante</w:t>
      </w:r>
      <w:r w:rsidR="00C201B7" w:rsidRPr="001B53D2">
        <w:rPr>
          <w:rFonts w:ascii="Times New Roman" w:hAnsi="Times New Roman"/>
          <w:sz w:val="24"/>
          <w:szCs w:val="24"/>
        </w:rPr>
        <w:t xml:space="preserve"> nazionale e a cercare mercati</w:t>
      </w:r>
      <w:r w:rsidR="00C201B7">
        <w:rPr>
          <w:rFonts w:ascii="Times New Roman" w:hAnsi="Times New Roman"/>
          <w:sz w:val="24"/>
          <w:szCs w:val="24"/>
        </w:rPr>
        <w:t xml:space="preserve"> esterni</w:t>
      </w:r>
      <w:r w:rsidR="00C201B7" w:rsidRPr="001B53D2">
        <w:rPr>
          <w:rFonts w:ascii="Times New Roman" w:hAnsi="Times New Roman"/>
          <w:sz w:val="24"/>
          <w:szCs w:val="24"/>
        </w:rPr>
        <w:t xml:space="preserve"> per lo sbocco dei propri prodotti agricoli</w:t>
      </w:r>
      <w:r w:rsidR="00C201B7">
        <w:rPr>
          <w:rFonts w:ascii="Times New Roman" w:hAnsi="Times New Roman"/>
          <w:sz w:val="24"/>
          <w:szCs w:val="24"/>
        </w:rPr>
        <w:t>. Le infrastrutture ferroviarie ungheresi servirono l’esclusivo interesse nazionale, con una rete che si irradiava dalla nuova capitale del regno e ne faceva al contempo il punto di transito obbligato per ogni destinazione interna. Alla radice di questo modell</w:t>
      </w:r>
      <w:r w:rsidR="00AA7CFD">
        <w:rPr>
          <w:rFonts w:ascii="Times New Roman" w:hAnsi="Times New Roman"/>
          <w:sz w:val="24"/>
          <w:szCs w:val="24"/>
        </w:rPr>
        <w:t>o di sviluppo stava la</w:t>
      </w:r>
      <w:r w:rsidR="00C201B7">
        <w:rPr>
          <w:rFonts w:ascii="Times New Roman" w:hAnsi="Times New Roman"/>
          <w:sz w:val="24"/>
          <w:szCs w:val="24"/>
        </w:rPr>
        <w:t xml:space="preserve"> maggiore coesione geografica e nazionale del regno d’Ungheria che la rete ferroviaria aveva la missione di consolidare ulteriormente</w:t>
      </w:r>
      <w:r w:rsidR="00C201B7">
        <w:rPr>
          <w:rStyle w:val="Rimandonotaapidipagina"/>
          <w:rFonts w:ascii="Times New Roman" w:hAnsi="Times New Roman"/>
          <w:sz w:val="24"/>
          <w:szCs w:val="24"/>
        </w:rPr>
        <w:footnoteReference w:id="71"/>
      </w:r>
      <w:r w:rsidR="00C201B7">
        <w:rPr>
          <w:rFonts w:ascii="Times New Roman" w:hAnsi="Times New Roman"/>
          <w:sz w:val="24"/>
          <w:szCs w:val="24"/>
        </w:rPr>
        <w:t>.</w:t>
      </w:r>
    </w:p>
    <w:p w14:paraId="3E439709" w14:textId="0ABD46F6" w:rsidR="002A55A5" w:rsidRPr="007E09E4" w:rsidRDefault="00AE25F3" w:rsidP="00C201B7">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Il Dualismo non soddisfaceva le aspirazioni delle nazionalità slave della Monarchia, che ne costituivano il v</w:t>
      </w:r>
      <w:r w:rsidR="00812E9D">
        <w:rPr>
          <w:rFonts w:ascii="Times New Roman" w:hAnsi="Times New Roman"/>
          <w:sz w:val="24"/>
          <w:szCs w:val="24"/>
        </w:rPr>
        <w:t>ero potenziale demografico. In Austria rimase una costante</w:t>
      </w:r>
      <w:r>
        <w:rPr>
          <w:rFonts w:ascii="Times New Roman" w:hAnsi="Times New Roman"/>
          <w:sz w:val="24"/>
          <w:szCs w:val="24"/>
        </w:rPr>
        <w:t xml:space="preserve"> </w:t>
      </w:r>
      <w:r w:rsidR="006827AF">
        <w:rPr>
          <w:rFonts w:ascii="Times New Roman" w:hAnsi="Times New Roman"/>
          <w:sz w:val="24"/>
          <w:szCs w:val="24"/>
        </w:rPr>
        <w:t>la condizione</w:t>
      </w:r>
      <w:r w:rsidRPr="00AE25F3">
        <w:rPr>
          <w:rFonts w:ascii="Times New Roman" w:hAnsi="Times New Roman"/>
          <w:sz w:val="24"/>
          <w:szCs w:val="24"/>
        </w:rPr>
        <w:t xml:space="preserve"> di ‘armonica scontentezza’</w:t>
      </w:r>
      <w:r w:rsidR="00812E9D">
        <w:rPr>
          <w:rFonts w:ascii="Times New Roman" w:hAnsi="Times New Roman"/>
          <w:sz w:val="24"/>
          <w:szCs w:val="24"/>
        </w:rPr>
        <w:t xml:space="preserve">, </w:t>
      </w:r>
      <w:r w:rsidR="004D56A9">
        <w:rPr>
          <w:rFonts w:ascii="Times New Roman" w:hAnsi="Times New Roman"/>
          <w:sz w:val="24"/>
          <w:szCs w:val="24"/>
        </w:rPr>
        <w:t xml:space="preserve">espressione </w:t>
      </w:r>
      <w:r w:rsidR="00812E9D">
        <w:rPr>
          <w:rFonts w:ascii="Times New Roman" w:hAnsi="Times New Roman"/>
          <w:sz w:val="24"/>
          <w:szCs w:val="24"/>
        </w:rPr>
        <w:t>c</w:t>
      </w:r>
      <w:r w:rsidR="004D56A9">
        <w:rPr>
          <w:rFonts w:ascii="Times New Roman" w:hAnsi="Times New Roman"/>
          <w:sz w:val="24"/>
          <w:szCs w:val="24"/>
        </w:rPr>
        <w:t>oniata dal conte</w:t>
      </w:r>
      <w:r w:rsidR="00812E9D">
        <w:rPr>
          <w:rFonts w:ascii="Times New Roman" w:hAnsi="Times New Roman"/>
          <w:sz w:val="24"/>
          <w:szCs w:val="24"/>
        </w:rPr>
        <w:t xml:space="preserve"> Eduard Taaffe</w:t>
      </w:r>
      <w:r w:rsidR="004D56A9">
        <w:rPr>
          <w:rFonts w:ascii="Times New Roman" w:hAnsi="Times New Roman"/>
          <w:sz w:val="24"/>
          <w:szCs w:val="24"/>
        </w:rPr>
        <w:t>, il pr</w:t>
      </w:r>
      <w:r w:rsidR="00E724D4">
        <w:rPr>
          <w:rFonts w:ascii="Times New Roman" w:hAnsi="Times New Roman"/>
          <w:sz w:val="24"/>
          <w:szCs w:val="24"/>
        </w:rPr>
        <w:t xml:space="preserve">imo ministro che riuscì a mantenere il proprio incarico più a lungo di qualsiasi altro con il sostegno di una coalizione soprannominata ‘anello di ferro’ </w:t>
      </w:r>
      <w:r w:rsidR="004D56A9">
        <w:rPr>
          <w:rFonts w:ascii="Times New Roman" w:hAnsi="Times New Roman"/>
          <w:sz w:val="24"/>
          <w:szCs w:val="24"/>
        </w:rPr>
        <w:t>(1879-1893)</w:t>
      </w:r>
      <w:r w:rsidR="004D56A9">
        <w:rPr>
          <w:rStyle w:val="Rimandonotaapidipagina"/>
          <w:rFonts w:ascii="Times New Roman" w:hAnsi="Times New Roman"/>
          <w:sz w:val="24"/>
          <w:szCs w:val="24"/>
        </w:rPr>
        <w:footnoteReference w:id="72"/>
      </w:r>
      <w:r w:rsidR="00E656C7">
        <w:rPr>
          <w:rFonts w:ascii="Times New Roman" w:hAnsi="Times New Roman"/>
          <w:sz w:val="24"/>
          <w:szCs w:val="24"/>
        </w:rPr>
        <w:t>. A superare il Dualismo</w:t>
      </w:r>
      <w:r w:rsidR="00812E9D">
        <w:rPr>
          <w:rFonts w:ascii="Times New Roman" w:hAnsi="Times New Roman"/>
          <w:sz w:val="24"/>
          <w:szCs w:val="24"/>
        </w:rPr>
        <w:t xml:space="preserve"> tesero i progetti che fino al 1914 tentarono di ridefinire la struttura interna dell’impero austro-ungarico. </w:t>
      </w:r>
      <w:r w:rsidR="002A55A5">
        <w:rPr>
          <w:rFonts w:ascii="Times New Roman" w:hAnsi="Times New Roman"/>
          <w:sz w:val="24"/>
          <w:szCs w:val="24"/>
        </w:rPr>
        <w:t>L’imperatore Francesco Gius</w:t>
      </w:r>
      <w:r w:rsidR="00FF0925">
        <w:rPr>
          <w:rFonts w:ascii="Times New Roman" w:hAnsi="Times New Roman"/>
          <w:sz w:val="24"/>
          <w:szCs w:val="24"/>
        </w:rPr>
        <w:t>eppe I e gli ungheresi</w:t>
      </w:r>
      <w:r w:rsidR="002A55A5">
        <w:rPr>
          <w:rFonts w:ascii="Times New Roman" w:hAnsi="Times New Roman"/>
          <w:sz w:val="24"/>
          <w:szCs w:val="24"/>
        </w:rPr>
        <w:t xml:space="preserve"> rimasero</w:t>
      </w:r>
      <w:r w:rsidR="006827AF">
        <w:rPr>
          <w:rFonts w:ascii="Times New Roman" w:hAnsi="Times New Roman"/>
          <w:sz w:val="24"/>
          <w:szCs w:val="24"/>
        </w:rPr>
        <w:t xml:space="preserve"> assidui sostenitori del mantenimento dello status quo: il sovrano perché si e</w:t>
      </w:r>
      <w:r w:rsidR="00447644">
        <w:rPr>
          <w:rFonts w:ascii="Times New Roman" w:hAnsi="Times New Roman"/>
          <w:sz w:val="24"/>
          <w:szCs w:val="24"/>
        </w:rPr>
        <w:t>ra impegnato in prima persona a</w:t>
      </w:r>
      <w:r w:rsidR="006827AF">
        <w:rPr>
          <w:rFonts w:ascii="Times New Roman" w:hAnsi="Times New Roman"/>
          <w:sz w:val="24"/>
          <w:szCs w:val="24"/>
        </w:rPr>
        <w:t>l rispetto</w:t>
      </w:r>
      <w:r w:rsidR="002A55A5">
        <w:rPr>
          <w:rFonts w:ascii="Times New Roman" w:hAnsi="Times New Roman"/>
          <w:sz w:val="24"/>
          <w:szCs w:val="24"/>
        </w:rPr>
        <w:t xml:space="preserve"> </w:t>
      </w:r>
      <w:r w:rsidR="006827AF">
        <w:rPr>
          <w:rFonts w:ascii="Times New Roman" w:hAnsi="Times New Roman"/>
          <w:sz w:val="24"/>
          <w:szCs w:val="24"/>
        </w:rPr>
        <w:lastRenderedPageBreak/>
        <w:t>degli accordi del 1867</w:t>
      </w:r>
      <w:r w:rsidR="0084698E">
        <w:rPr>
          <w:rStyle w:val="Rimandonotaapidipagina"/>
          <w:rFonts w:ascii="Times New Roman" w:hAnsi="Times New Roman"/>
          <w:sz w:val="24"/>
          <w:szCs w:val="24"/>
        </w:rPr>
        <w:footnoteReference w:id="73"/>
      </w:r>
      <w:r w:rsidR="006827AF">
        <w:rPr>
          <w:rFonts w:ascii="Times New Roman" w:hAnsi="Times New Roman"/>
          <w:sz w:val="24"/>
          <w:szCs w:val="24"/>
        </w:rPr>
        <w:t>, i magiari per preservare la posizione</w:t>
      </w:r>
      <w:r w:rsidR="006E419B">
        <w:rPr>
          <w:rFonts w:ascii="Times New Roman" w:hAnsi="Times New Roman"/>
          <w:sz w:val="24"/>
          <w:szCs w:val="24"/>
        </w:rPr>
        <w:t xml:space="preserve"> vantaggiosa</w:t>
      </w:r>
      <w:r w:rsidR="006827AF">
        <w:rPr>
          <w:rFonts w:ascii="Times New Roman" w:hAnsi="Times New Roman"/>
          <w:sz w:val="24"/>
          <w:szCs w:val="24"/>
        </w:rPr>
        <w:t xml:space="preserve"> nei confronti dell’Austria e</w:t>
      </w:r>
      <w:r w:rsidR="006E419B">
        <w:rPr>
          <w:rFonts w:ascii="Times New Roman" w:hAnsi="Times New Roman"/>
          <w:sz w:val="24"/>
          <w:szCs w:val="24"/>
        </w:rPr>
        <w:t xml:space="preserve"> la supremazia su</w:t>
      </w:r>
      <w:r w:rsidR="006827AF">
        <w:rPr>
          <w:rFonts w:ascii="Times New Roman" w:hAnsi="Times New Roman"/>
          <w:sz w:val="24"/>
          <w:szCs w:val="24"/>
        </w:rPr>
        <w:t>lle nazionalità del</w:t>
      </w:r>
      <w:r w:rsidR="00620CEA">
        <w:rPr>
          <w:rFonts w:ascii="Times New Roman" w:hAnsi="Times New Roman"/>
          <w:sz w:val="24"/>
          <w:szCs w:val="24"/>
        </w:rPr>
        <w:t xml:space="preserve"> loro</w:t>
      </w:r>
      <w:r w:rsidR="006827AF">
        <w:rPr>
          <w:rFonts w:ascii="Times New Roman" w:hAnsi="Times New Roman"/>
          <w:sz w:val="24"/>
          <w:szCs w:val="24"/>
        </w:rPr>
        <w:t xml:space="preserve"> regno.</w:t>
      </w:r>
      <w:r w:rsidR="006E419B">
        <w:rPr>
          <w:rFonts w:ascii="Times New Roman" w:hAnsi="Times New Roman"/>
          <w:sz w:val="24"/>
          <w:szCs w:val="24"/>
        </w:rPr>
        <w:t xml:space="preserve"> Per queste ragioni le </w:t>
      </w:r>
      <w:r w:rsidR="00620CEA">
        <w:rPr>
          <w:rFonts w:ascii="Times New Roman" w:hAnsi="Times New Roman"/>
          <w:sz w:val="24"/>
          <w:szCs w:val="24"/>
        </w:rPr>
        <w:t xml:space="preserve">speranze di </w:t>
      </w:r>
      <w:r w:rsidR="006E419B">
        <w:rPr>
          <w:rFonts w:ascii="Times New Roman" w:hAnsi="Times New Roman"/>
          <w:sz w:val="24"/>
          <w:szCs w:val="24"/>
        </w:rPr>
        <w:t>modificare in senso trialistico o federalistico allargato la Duplice Monarchia si appuntarono nel primo decennio del Novecento sull’erede presuntivo al trono, l’arciduca Francesco Ferdinando d’Asburgo-Este, del quale era</w:t>
      </w:r>
      <w:r w:rsidR="00844765">
        <w:rPr>
          <w:rFonts w:ascii="Times New Roman" w:hAnsi="Times New Roman"/>
          <w:sz w:val="24"/>
          <w:szCs w:val="24"/>
        </w:rPr>
        <w:t>no note</w:t>
      </w:r>
      <w:r w:rsidR="006E419B">
        <w:rPr>
          <w:rFonts w:ascii="Times New Roman" w:hAnsi="Times New Roman"/>
          <w:sz w:val="24"/>
          <w:szCs w:val="24"/>
        </w:rPr>
        <w:t xml:space="preserve"> </w:t>
      </w:r>
      <w:r w:rsidR="00844765">
        <w:rPr>
          <w:rFonts w:ascii="Times New Roman" w:hAnsi="Times New Roman"/>
          <w:sz w:val="24"/>
          <w:szCs w:val="24"/>
        </w:rPr>
        <w:t>la scarsa simpatia per i magiari e le velleità di revisione del Dualismo</w:t>
      </w:r>
      <w:r w:rsidR="00655D5C">
        <w:rPr>
          <w:rStyle w:val="Rimandonotaapidipagina"/>
          <w:rFonts w:ascii="Times New Roman" w:hAnsi="Times New Roman"/>
          <w:sz w:val="24"/>
          <w:szCs w:val="24"/>
        </w:rPr>
        <w:footnoteReference w:id="74"/>
      </w:r>
      <w:r w:rsidR="00844765">
        <w:rPr>
          <w:rFonts w:ascii="Times New Roman" w:hAnsi="Times New Roman"/>
          <w:sz w:val="24"/>
          <w:szCs w:val="24"/>
        </w:rPr>
        <w:t>.</w:t>
      </w:r>
      <w:r w:rsidR="006E419B">
        <w:rPr>
          <w:rFonts w:ascii="Times New Roman" w:hAnsi="Times New Roman"/>
          <w:sz w:val="24"/>
          <w:szCs w:val="24"/>
        </w:rPr>
        <w:t xml:space="preserve"> </w:t>
      </w:r>
      <w:r w:rsidR="00F864CB">
        <w:rPr>
          <w:rFonts w:ascii="Times New Roman" w:hAnsi="Times New Roman"/>
          <w:sz w:val="24"/>
          <w:szCs w:val="24"/>
        </w:rPr>
        <w:t>Tuttavia l</w:t>
      </w:r>
      <w:r w:rsidR="00FB4DA9">
        <w:rPr>
          <w:rFonts w:ascii="Times New Roman" w:hAnsi="Times New Roman"/>
          <w:sz w:val="24"/>
          <w:szCs w:val="24"/>
        </w:rPr>
        <w:t xml:space="preserve">’arciduca, attorno al quale si muovevano i </w:t>
      </w:r>
      <w:r w:rsidR="00393391">
        <w:rPr>
          <w:rFonts w:ascii="Times New Roman" w:hAnsi="Times New Roman"/>
          <w:sz w:val="24"/>
          <w:szCs w:val="24"/>
        </w:rPr>
        <w:t xml:space="preserve">circoli militari centralisti, </w:t>
      </w:r>
      <w:r w:rsidR="00FB4DA9">
        <w:rPr>
          <w:rFonts w:ascii="Times New Roman" w:hAnsi="Times New Roman"/>
          <w:sz w:val="24"/>
          <w:szCs w:val="24"/>
        </w:rPr>
        <w:t>elem</w:t>
      </w:r>
      <w:r w:rsidR="00393391">
        <w:rPr>
          <w:rFonts w:ascii="Times New Roman" w:hAnsi="Times New Roman"/>
          <w:sz w:val="24"/>
          <w:szCs w:val="24"/>
        </w:rPr>
        <w:t>enti del cattolicesimo politico e nazionalisti romeni, ucraini e slavi del sud,</w:t>
      </w:r>
      <w:r w:rsidR="00FB4DA9">
        <w:rPr>
          <w:rFonts w:ascii="Times New Roman" w:hAnsi="Times New Roman"/>
          <w:sz w:val="24"/>
          <w:szCs w:val="24"/>
        </w:rPr>
        <w:t xml:space="preserve"> </w:t>
      </w:r>
      <w:r w:rsidR="00393391">
        <w:rPr>
          <w:rFonts w:ascii="Times New Roman" w:hAnsi="Times New Roman"/>
          <w:sz w:val="24"/>
          <w:szCs w:val="24"/>
        </w:rPr>
        <w:t xml:space="preserve">non ebbe mai per obiettivo il Trialismo, nel quale credevano </w:t>
      </w:r>
      <w:r w:rsidR="0046250E">
        <w:rPr>
          <w:rFonts w:ascii="Times New Roman" w:hAnsi="Times New Roman"/>
          <w:sz w:val="24"/>
          <w:szCs w:val="24"/>
        </w:rPr>
        <w:t xml:space="preserve">invece </w:t>
      </w:r>
      <w:r w:rsidR="00393391">
        <w:rPr>
          <w:rFonts w:ascii="Times New Roman" w:hAnsi="Times New Roman"/>
          <w:sz w:val="24"/>
          <w:szCs w:val="24"/>
        </w:rPr>
        <w:t>fermamente i croati</w:t>
      </w:r>
      <w:r w:rsidR="00393391">
        <w:rPr>
          <w:rStyle w:val="Rimandonotaapidipagina"/>
          <w:rFonts w:ascii="Times New Roman" w:hAnsi="Times New Roman"/>
          <w:sz w:val="24"/>
          <w:szCs w:val="24"/>
        </w:rPr>
        <w:footnoteReference w:id="75"/>
      </w:r>
      <w:r w:rsidR="00393391">
        <w:rPr>
          <w:rFonts w:ascii="Times New Roman" w:hAnsi="Times New Roman"/>
          <w:sz w:val="24"/>
          <w:szCs w:val="24"/>
        </w:rPr>
        <w:t xml:space="preserve">: era semmai deciso a restaurare il centralismo e l’uguaglianza delle nazionalità a danno dei </w:t>
      </w:r>
      <w:r w:rsidR="00747DBD">
        <w:rPr>
          <w:rFonts w:ascii="Times New Roman" w:hAnsi="Times New Roman"/>
          <w:sz w:val="24"/>
          <w:szCs w:val="24"/>
        </w:rPr>
        <w:t>magiari.</w:t>
      </w:r>
      <w:r w:rsidR="007E09E4">
        <w:rPr>
          <w:rFonts w:ascii="Times New Roman" w:hAnsi="Times New Roman"/>
          <w:sz w:val="24"/>
          <w:szCs w:val="24"/>
        </w:rPr>
        <w:t xml:space="preserve"> I</w:t>
      </w:r>
      <w:r w:rsidR="00BE2067">
        <w:rPr>
          <w:rFonts w:ascii="Times New Roman" w:hAnsi="Times New Roman"/>
          <w:sz w:val="24"/>
          <w:szCs w:val="24"/>
        </w:rPr>
        <w:t>l partito socialdemocratico dei lavoratori, membro della II Internazionale, ebbe</w:t>
      </w:r>
      <w:r w:rsidR="007E09E4">
        <w:rPr>
          <w:rFonts w:ascii="Times New Roman" w:hAnsi="Times New Roman"/>
          <w:sz w:val="24"/>
          <w:szCs w:val="24"/>
        </w:rPr>
        <w:t xml:space="preserve"> un ruolo importante nella lotta per l’emancipazione sociale e politica delle masse in Cisleithania</w:t>
      </w:r>
      <w:r w:rsidR="006667E6">
        <w:rPr>
          <w:rFonts w:ascii="Times New Roman" w:hAnsi="Times New Roman"/>
          <w:sz w:val="24"/>
          <w:szCs w:val="24"/>
        </w:rPr>
        <w:t xml:space="preserve"> e in misura minore in Ungheria</w:t>
      </w:r>
      <w:r w:rsidR="007E09E4">
        <w:rPr>
          <w:rFonts w:ascii="Times New Roman" w:hAnsi="Times New Roman"/>
          <w:sz w:val="24"/>
          <w:szCs w:val="24"/>
        </w:rPr>
        <w:t xml:space="preserve">. Diffusi soprattutto nelle grandi metropoli dell’impero, nelle aree industriali della Moravia </w:t>
      </w:r>
      <w:r w:rsidR="00EE596D">
        <w:rPr>
          <w:rFonts w:ascii="Times New Roman" w:hAnsi="Times New Roman"/>
          <w:sz w:val="24"/>
          <w:szCs w:val="24"/>
        </w:rPr>
        <w:t>e della Bassa Austria,</w:t>
      </w:r>
      <w:r w:rsidR="007E09E4">
        <w:rPr>
          <w:rFonts w:ascii="Times New Roman" w:hAnsi="Times New Roman"/>
          <w:sz w:val="24"/>
          <w:szCs w:val="24"/>
        </w:rPr>
        <w:t xml:space="preserve"> nei porti del Litorale austriaco</w:t>
      </w:r>
      <w:r w:rsidR="00EE596D">
        <w:rPr>
          <w:rFonts w:ascii="Times New Roman" w:hAnsi="Times New Roman"/>
          <w:sz w:val="24"/>
          <w:szCs w:val="24"/>
        </w:rPr>
        <w:t xml:space="preserve"> e ungherese</w:t>
      </w:r>
      <w:r w:rsidR="00EE596D">
        <w:rPr>
          <w:rStyle w:val="Rimandonotaapidipagina"/>
          <w:rFonts w:ascii="Times New Roman" w:hAnsi="Times New Roman"/>
          <w:sz w:val="24"/>
          <w:szCs w:val="24"/>
        </w:rPr>
        <w:footnoteReference w:id="76"/>
      </w:r>
      <w:r w:rsidR="007E09E4">
        <w:rPr>
          <w:rFonts w:ascii="Times New Roman" w:hAnsi="Times New Roman"/>
          <w:sz w:val="24"/>
          <w:szCs w:val="24"/>
        </w:rPr>
        <w:t xml:space="preserve">, </w:t>
      </w:r>
      <w:r w:rsidR="00BE2067">
        <w:rPr>
          <w:rFonts w:ascii="Times New Roman" w:hAnsi="Times New Roman"/>
          <w:sz w:val="24"/>
          <w:szCs w:val="24"/>
        </w:rPr>
        <w:t xml:space="preserve">i socialisti </w:t>
      </w:r>
      <w:r w:rsidR="007E09E4">
        <w:rPr>
          <w:rFonts w:ascii="Times New Roman" w:hAnsi="Times New Roman"/>
          <w:sz w:val="24"/>
          <w:szCs w:val="24"/>
        </w:rPr>
        <w:t>incontrarono notevoli difficoltà nel guadagnarsi il favore delle masse contadine, sia per ragioni ideologich</w:t>
      </w:r>
      <w:r w:rsidR="00D979AE">
        <w:rPr>
          <w:rFonts w:ascii="Times New Roman" w:hAnsi="Times New Roman"/>
          <w:sz w:val="24"/>
          <w:szCs w:val="24"/>
        </w:rPr>
        <w:t xml:space="preserve">e che pratiche. Nelle campagne </w:t>
      </w:r>
      <w:r w:rsidR="007E09E4">
        <w:rPr>
          <w:rFonts w:ascii="Times New Roman" w:hAnsi="Times New Roman"/>
          <w:sz w:val="24"/>
          <w:szCs w:val="24"/>
        </w:rPr>
        <w:t>subirono</w:t>
      </w:r>
      <w:r w:rsidR="00D979AE">
        <w:rPr>
          <w:rFonts w:ascii="Times New Roman" w:hAnsi="Times New Roman"/>
          <w:sz w:val="24"/>
          <w:szCs w:val="24"/>
        </w:rPr>
        <w:t xml:space="preserve"> infatti</w:t>
      </w:r>
      <w:r w:rsidR="007E09E4">
        <w:rPr>
          <w:rFonts w:ascii="Times New Roman" w:hAnsi="Times New Roman"/>
          <w:sz w:val="24"/>
          <w:szCs w:val="24"/>
        </w:rPr>
        <w:t xml:space="preserve"> la concorrenza dei partiti popolari cattolici, che ne limitarono l’influenza con tutto il possibile supporto offerto dalle gerarchie ecclesiastiche.</w:t>
      </w:r>
      <w:r w:rsidR="00EE596D">
        <w:rPr>
          <w:rFonts w:ascii="Times New Roman" w:hAnsi="Times New Roman"/>
          <w:sz w:val="24"/>
          <w:szCs w:val="24"/>
        </w:rPr>
        <w:t xml:space="preserve"> La </w:t>
      </w:r>
      <w:r w:rsidR="00BE2067">
        <w:rPr>
          <w:rFonts w:ascii="Times New Roman" w:hAnsi="Times New Roman"/>
          <w:sz w:val="24"/>
          <w:szCs w:val="24"/>
        </w:rPr>
        <w:t>convergenza fra il contesto imperiale</w:t>
      </w:r>
      <w:r w:rsidR="00EE596D">
        <w:rPr>
          <w:rFonts w:ascii="Times New Roman" w:hAnsi="Times New Roman"/>
          <w:sz w:val="24"/>
          <w:szCs w:val="24"/>
        </w:rPr>
        <w:t xml:space="preserve"> e i</w:t>
      </w:r>
      <w:r w:rsidR="00BE2067">
        <w:rPr>
          <w:rFonts w:ascii="Times New Roman" w:hAnsi="Times New Roman"/>
          <w:sz w:val="24"/>
          <w:szCs w:val="24"/>
        </w:rPr>
        <w:t>l marxismo</w:t>
      </w:r>
      <w:r w:rsidR="00EE596D">
        <w:rPr>
          <w:rFonts w:ascii="Times New Roman" w:hAnsi="Times New Roman"/>
          <w:sz w:val="24"/>
          <w:szCs w:val="24"/>
        </w:rPr>
        <w:t xml:space="preserve"> fu invece il più paradossale e nel contempo originale degli sviluppi: il cosiddetto ‘austro</w:t>
      </w:r>
      <w:r w:rsidR="00327E23">
        <w:rPr>
          <w:rFonts w:ascii="Times New Roman" w:hAnsi="Times New Roman"/>
          <w:sz w:val="24"/>
          <w:szCs w:val="24"/>
        </w:rPr>
        <w:t>-</w:t>
      </w:r>
      <w:r w:rsidR="00EE596D">
        <w:rPr>
          <w:rFonts w:ascii="Times New Roman" w:hAnsi="Times New Roman"/>
          <w:sz w:val="24"/>
          <w:szCs w:val="24"/>
        </w:rPr>
        <w:t>marxismo’ rappresentò infatti un efficace tentativo di superare i naziona</w:t>
      </w:r>
      <w:r w:rsidR="00BE2067">
        <w:rPr>
          <w:rFonts w:ascii="Times New Roman" w:hAnsi="Times New Roman"/>
          <w:sz w:val="24"/>
          <w:szCs w:val="24"/>
        </w:rPr>
        <w:t xml:space="preserve">lismi attraverso il sostegno agli </w:t>
      </w:r>
      <w:r w:rsidR="00BE2067">
        <w:rPr>
          <w:rFonts w:ascii="Times New Roman" w:hAnsi="Times New Roman"/>
          <w:sz w:val="24"/>
          <w:szCs w:val="24"/>
        </w:rPr>
        <w:lastRenderedPageBreak/>
        <w:t>Asburgo da parte di un</w:t>
      </w:r>
      <w:r w:rsidR="00EE596D">
        <w:rPr>
          <w:rFonts w:ascii="Times New Roman" w:hAnsi="Times New Roman"/>
          <w:sz w:val="24"/>
          <w:szCs w:val="24"/>
        </w:rPr>
        <w:t xml:space="preserve"> movimento politico per definizione sovranazionale e internazionalista</w:t>
      </w:r>
      <w:r w:rsidR="00984406">
        <w:rPr>
          <w:rStyle w:val="Rimandonotaapidipagina"/>
          <w:rFonts w:ascii="Times New Roman" w:hAnsi="Times New Roman"/>
          <w:sz w:val="24"/>
          <w:szCs w:val="24"/>
        </w:rPr>
        <w:footnoteReference w:id="77"/>
      </w:r>
      <w:r w:rsidR="00EE596D">
        <w:rPr>
          <w:rFonts w:ascii="Times New Roman" w:hAnsi="Times New Roman"/>
          <w:sz w:val="24"/>
          <w:szCs w:val="24"/>
        </w:rPr>
        <w:t xml:space="preserve">. </w:t>
      </w:r>
      <w:r w:rsidR="00984406">
        <w:rPr>
          <w:rFonts w:ascii="Times New Roman" w:hAnsi="Times New Roman"/>
          <w:sz w:val="24"/>
          <w:szCs w:val="24"/>
        </w:rPr>
        <w:t>Il più importante successo politico dei socialisti fu senza dubbio l’introduzione del suffragio univ</w:t>
      </w:r>
      <w:r w:rsidR="00F864CB">
        <w:rPr>
          <w:rFonts w:ascii="Times New Roman" w:hAnsi="Times New Roman"/>
          <w:sz w:val="24"/>
          <w:szCs w:val="24"/>
        </w:rPr>
        <w:t>ersale in Austria nel 1907</w:t>
      </w:r>
      <w:r w:rsidR="00984406">
        <w:rPr>
          <w:rFonts w:ascii="Times New Roman" w:hAnsi="Times New Roman"/>
          <w:sz w:val="24"/>
          <w:szCs w:val="24"/>
        </w:rPr>
        <w:t>.</w:t>
      </w:r>
      <w:r w:rsidR="007E09E4">
        <w:rPr>
          <w:rFonts w:ascii="Times New Roman" w:hAnsi="Times New Roman"/>
          <w:sz w:val="24"/>
          <w:szCs w:val="24"/>
        </w:rPr>
        <w:t xml:space="preserve"> </w:t>
      </w:r>
    </w:p>
    <w:p w14:paraId="22090FD4" w14:textId="77777777" w:rsidR="00025868" w:rsidRDefault="00C947BB" w:rsidP="00CE4689">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A differenza di quanto avvenne nella parte austriaca, gli ungheresi imposero fin dal principio un sistema magiaro-centrico, in parte ereditato dalla storia. Le moderne conquiste civili, l’espressione e la partecipazione politica, l’autonomia linguistica e culturale v</w:t>
      </w:r>
      <w:r w:rsidR="00FE1186">
        <w:rPr>
          <w:rFonts w:ascii="Times New Roman" w:hAnsi="Times New Roman"/>
          <w:sz w:val="24"/>
          <w:szCs w:val="24"/>
        </w:rPr>
        <w:t>ennero intesi come inalienabile patrimonio individuale</w:t>
      </w:r>
      <w:r>
        <w:rPr>
          <w:rFonts w:ascii="Times New Roman" w:hAnsi="Times New Roman"/>
          <w:sz w:val="24"/>
          <w:szCs w:val="24"/>
        </w:rPr>
        <w:t>, dell’uomo e del cittadino: tuttavia, ment</w:t>
      </w:r>
      <w:r w:rsidR="00FE1186">
        <w:rPr>
          <w:rFonts w:ascii="Times New Roman" w:hAnsi="Times New Roman"/>
          <w:sz w:val="24"/>
          <w:szCs w:val="24"/>
        </w:rPr>
        <w:t>re in Cisleithania la legge di cittadinanza</w:t>
      </w:r>
      <w:r w:rsidR="00561C8E">
        <w:rPr>
          <w:rFonts w:ascii="Times New Roman" w:hAnsi="Times New Roman"/>
          <w:sz w:val="24"/>
          <w:szCs w:val="24"/>
        </w:rPr>
        <w:t xml:space="preserve"> sanciva al paragrafo XIX «</w:t>
      </w:r>
      <w:r>
        <w:rPr>
          <w:rFonts w:ascii="Times New Roman" w:hAnsi="Times New Roman"/>
          <w:sz w:val="24"/>
          <w:szCs w:val="24"/>
        </w:rPr>
        <w:t xml:space="preserve">uguali </w:t>
      </w:r>
      <w:r w:rsidRPr="00860F4D">
        <w:rPr>
          <w:rFonts w:ascii="Times New Roman" w:hAnsi="Times New Roman"/>
          <w:sz w:val="24"/>
          <w:szCs w:val="24"/>
        </w:rPr>
        <w:t>di</w:t>
      </w:r>
      <w:r w:rsidR="00561C8E" w:rsidRPr="00860F4D">
        <w:rPr>
          <w:rFonts w:ascii="Times New Roman" w:hAnsi="Times New Roman"/>
          <w:sz w:val="24"/>
          <w:szCs w:val="24"/>
        </w:rPr>
        <w:t>ritti</w:t>
      </w:r>
      <w:r w:rsidR="00561C8E">
        <w:rPr>
          <w:rFonts w:ascii="Times New Roman" w:hAnsi="Times New Roman"/>
          <w:sz w:val="24"/>
          <w:szCs w:val="24"/>
        </w:rPr>
        <w:t xml:space="preserve"> per tutte le nazionalità [</w:t>
      </w:r>
      <w:r w:rsidRPr="00320B59">
        <w:rPr>
          <w:rFonts w:ascii="Times New Roman" w:hAnsi="Times New Roman"/>
          <w:i/>
          <w:sz w:val="24"/>
          <w:szCs w:val="24"/>
        </w:rPr>
        <w:t>Volksstämme</w:t>
      </w:r>
      <w:r w:rsidR="00561C8E">
        <w:rPr>
          <w:rFonts w:ascii="Times New Roman" w:hAnsi="Times New Roman"/>
          <w:sz w:val="24"/>
          <w:szCs w:val="24"/>
        </w:rPr>
        <w:t>]</w:t>
      </w:r>
      <w:r w:rsidRPr="00561C8E">
        <w:rPr>
          <w:rFonts w:ascii="Times New Roman" w:hAnsi="Times New Roman"/>
          <w:sz w:val="24"/>
          <w:szCs w:val="24"/>
        </w:rPr>
        <w:t xml:space="preserve"> […]</w:t>
      </w:r>
      <w:r w:rsidR="00FE1186">
        <w:rPr>
          <w:rFonts w:ascii="Times New Roman" w:hAnsi="Times New Roman"/>
          <w:sz w:val="24"/>
          <w:szCs w:val="24"/>
        </w:rPr>
        <w:t xml:space="preserve"> e l’uguaglianza </w:t>
      </w:r>
      <w:r w:rsidR="00FE1186">
        <w:rPr>
          <w:rFonts w:ascii="Arial Narrow" w:hAnsi="Arial Narrow"/>
          <w:sz w:val="24"/>
          <w:szCs w:val="24"/>
        </w:rPr>
        <w:t>[</w:t>
      </w:r>
      <w:r w:rsidR="00FE1186">
        <w:rPr>
          <w:rFonts w:ascii="Times New Roman" w:hAnsi="Times New Roman"/>
          <w:sz w:val="24"/>
          <w:szCs w:val="24"/>
        </w:rPr>
        <w:t>…</w:t>
      </w:r>
      <w:r w:rsidR="00FE1186">
        <w:rPr>
          <w:rFonts w:ascii="Arial Narrow" w:hAnsi="Arial Narrow"/>
          <w:sz w:val="24"/>
          <w:szCs w:val="24"/>
        </w:rPr>
        <w:t>]</w:t>
      </w:r>
      <w:r w:rsidR="00FE1186">
        <w:rPr>
          <w:rFonts w:ascii="Times New Roman" w:hAnsi="Times New Roman"/>
          <w:sz w:val="24"/>
          <w:szCs w:val="24"/>
        </w:rPr>
        <w:t xml:space="preserve"> del</w:t>
      </w:r>
      <w:r>
        <w:rPr>
          <w:rFonts w:ascii="Times New Roman" w:hAnsi="Times New Roman"/>
          <w:sz w:val="24"/>
          <w:szCs w:val="24"/>
        </w:rPr>
        <w:t>le lingue di uso comune nelle province, nelle scuole, nell’amministrazione e ne</w:t>
      </w:r>
      <w:r w:rsidR="00561C8E">
        <w:rPr>
          <w:rFonts w:ascii="Times New Roman" w:hAnsi="Times New Roman"/>
          <w:sz w:val="24"/>
          <w:szCs w:val="24"/>
        </w:rPr>
        <w:t>lla vita pubblica»</w:t>
      </w:r>
      <w:r>
        <w:rPr>
          <w:rFonts w:ascii="Times New Roman" w:hAnsi="Times New Roman"/>
          <w:sz w:val="24"/>
          <w:szCs w:val="24"/>
        </w:rPr>
        <w:t>, in Ungheria tutte queste concessioni dovevano inquadrarsi nell’ideale nazionale ungherese</w:t>
      </w:r>
      <w:r w:rsidR="00932664">
        <w:rPr>
          <w:rFonts w:ascii="Times New Roman" w:hAnsi="Times New Roman"/>
          <w:sz w:val="24"/>
          <w:szCs w:val="24"/>
        </w:rPr>
        <w:t xml:space="preserve">, al quale spettava l’esclusiva </w:t>
      </w:r>
      <w:r>
        <w:rPr>
          <w:rFonts w:ascii="Times New Roman" w:hAnsi="Times New Roman"/>
          <w:sz w:val="24"/>
          <w:szCs w:val="24"/>
        </w:rPr>
        <w:t>dignità politica e sulla cui base era stata elaborata e promulgata la legge del 1868 sulle nazionalità</w:t>
      </w:r>
      <w:r>
        <w:rPr>
          <w:rStyle w:val="Rimandonotaapidipagina"/>
          <w:rFonts w:ascii="Times New Roman" w:hAnsi="Times New Roman"/>
          <w:sz w:val="24"/>
          <w:szCs w:val="24"/>
        </w:rPr>
        <w:footnoteReference w:id="78"/>
      </w:r>
      <w:r>
        <w:rPr>
          <w:rFonts w:ascii="Times New Roman" w:hAnsi="Times New Roman"/>
          <w:sz w:val="24"/>
          <w:szCs w:val="24"/>
        </w:rPr>
        <w:t>: la quale a</w:t>
      </w:r>
      <w:r w:rsidR="00025868">
        <w:rPr>
          <w:rFonts w:ascii="Times New Roman" w:hAnsi="Times New Roman"/>
          <w:sz w:val="24"/>
          <w:szCs w:val="24"/>
        </w:rPr>
        <w:t>ffermava che «</w:t>
      </w:r>
      <w:r>
        <w:rPr>
          <w:rFonts w:ascii="Times New Roman" w:hAnsi="Times New Roman"/>
          <w:sz w:val="24"/>
          <w:szCs w:val="24"/>
        </w:rPr>
        <w:t>tutti i cittadini, qualunque sia la loro lingua, formano politicamente una sola nazione, la nazione un</w:t>
      </w:r>
      <w:r w:rsidR="00025868">
        <w:rPr>
          <w:rFonts w:ascii="Times New Roman" w:hAnsi="Times New Roman"/>
          <w:sz w:val="24"/>
          <w:szCs w:val="24"/>
        </w:rPr>
        <w:t>gherese unitaria e indivisibile»</w:t>
      </w:r>
      <w:commentRangeStart w:id="96"/>
      <w:commentRangeStart w:id="97"/>
      <w:r>
        <w:rPr>
          <w:rStyle w:val="Rimandonotaapidipagina"/>
          <w:rFonts w:ascii="Times New Roman" w:hAnsi="Times New Roman"/>
          <w:sz w:val="24"/>
          <w:szCs w:val="24"/>
        </w:rPr>
        <w:footnoteReference w:id="79"/>
      </w:r>
      <w:commentRangeEnd w:id="96"/>
      <w:r w:rsidR="00025868">
        <w:rPr>
          <w:rStyle w:val="Rimandocommento"/>
        </w:rPr>
        <w:commentReference w:id="96"/>
      </w:r>
      <w:commentRangeEnd w:id="97"/>
      <w:r w:rsidR="00A22919">
        <w:rPr>
          <w:rStyle w:val="Rimandocommento"/>
        </w:rPr>
        <w:commentReference w:id="97"/>
      </w:r>
      <w:r w:rsidR="00025868">
        <w:rPr>
          <w:rFonts w:ascii="Times New Roman" w:hAnsi="Times New Roman"/>
          <w:sz w:val="24"/>
          <w:szCs w:val="24"/>
        </w:rPr>
        <w:t>.</w:t>
      </w:r>
    </w:p>
    <w:p w14:paraId="50B10797" w14:textId="6BA90C2D" w:rsidR="00B2103A" w:rsidRDefault="00C947BB" w:rsidP="00CE4689">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 xml:space="preserve">La personalità ispiratrice della legge, </w:t>
      </w:r>
      <w:r w:rsidRPr="00940BCC">
        <w:rPr>
          <w:rFonts w:ascii="Times New Roman" w:hAnsi="Times New Roman"/>
          <w:sz w:val="24"/>
          <w:szCs w:val="24"/>
        </w:rPr>
        <w:t>il barone József  Eötvös</w:t>
      </w:r>
      <w:r>
        <w:rPr>
          <w:rFonts w:ascii="Times New Roman" w:hAnsi="Times New Roman"/>
          <w:sz w:val="24"/>
          <w:szCs w:val="24"/>
        </w:rPr>
        <w:t>, uno dei grandi liberali del tempo, aveva inteso garantire alle nazionalità non magiare la libertà di realizzare distinte aspirazioni nazionali</w:t>
      </w:r>
      <w:r>
        <w:rPr>
          <w:rStyle w:val="Rimandonotaapidipagina"/>
          <w:rFonts w:ascii="Times New Roman" w:hAnsi="Times New Roman"/>
          <w:sz w:val="24"/>
          <w:szCs w:val="24"/>
        </w:rPr>
        <w:footnoteReference w:id="80"/>
      </w:r>
      <w:r w:rsidR="00230371">
        <w:rPr>
          <w:rFonts w:ascii="Times New Roman" w:hAnsi="Times New Roman"/>
          <w:sz w:val="24"/>
          <w:szCs w:val="24"/>
        </w:rPr>
        <w:t>, ma fu Ferenc</w:t>
      </w:r>
      <w:r>
        <w:rPr>
          <w:rFonts w:ascii="Times New Roman" w:hAnsi="Times New Roman"/>
          <w:sz w:val="24"/>
          <w:szCs w:val="24"/>
        </w:rPr>
        <w:t xml:space="preserve"> </w:t>
      </w:r>
      <w:r w:rsidRPr="00940BCC">
        <w:rPr>
          <w:rFonts w:ascii="Times New Roman" w:hAnsi="Times New Roman"/>
          <w:sz w:val="24"/>
          <w:szCs w:val="24"/>
        </w:rPr>
        <w:t>Deák</w:t>
      </w:r>
      <w:r>
        <w:rPr>
          <w:rFonts w:ascii="Times New Roman" w:hAnsi="Times New Roman"/>
          <w:sz w:val="24"/>
          <w:szCs w:val="24"/>
        </w:rPr>
        <w:t xml:space="preserve"> a</w:t>
      </w:r>
      <w:r w:rsidR="00213306">
        <w:rPr>
          <w:rFonts w:ascii="Times New Roman" w:hAnsi="Times New Roman"/>
          <w:sz w:val="24"/>
          <w:szCs w:val="24"/>
        </w:rPr>
        <w:t>d</w:t>
      </w:r>
      <w:r>
        <w:rPr>
          <w:rFonts w:ascii="Times New Roman" w:hAnsi="Times New Roman"/>
          <w:sz w:val="24"/>
          <w:szCs w:val="24"/>
        </w:rPr>
        <w:t xml:space="preserve"> includere clausole che le sottomettessero al vincolo dell’unità politica del paese, lasciando in pratica nelle mani dei magiari i mezzi legali per impedire che i gruppi nazionali finissero per costituire entità politico-amministrative autonome nella cornice isti</w:t>
      </w:r>
      <w:r w:rsidR="00B2103A">
        <w:rPr>
          <w:rFonts w:ascii="Times New Roman" w:hAnsi="Times New Roman"/>
          <w:sz w:val="24"/>
          <w:szCs w:val="24"/>
        </w:rPr>
        <w:t>tuzionale del regno d’Ungheria.</w:t>
      </w:r>
    </w:p>
    <w:p w14:paraId="00C095CE" w14:textId="71E81BD6" w:rsidR="006D6265" w:rsidRDefault="00C947BB" w:rsidP="00051E50">
      <w:pPr>
        <w:pStyle w:val="Testonotaapidipagina"/>
        <w:spacing w:before="100" w:beforeAutospacing="1" w:after="100" w:afterAutospacing="1" w:line="360" w:lineRule="auto"/>
        <w:ind w:right="567" w:firstLine="567"/>
        <w:jc w:val="both"/>
        <w:rPr>
          <w:rFonts w:ascii="Times New Roman" w:hAnsi="Times New Roman"/>
          <w:sz w:val="24"/>
          <w:szCs w:val="24"/>
        </w:rPr>
      </w:pPr>
      <w:r>
        <w:rPr>
          <w:rFonts w:ascii="Times New Roman" w:hAnsi="Times New Roman"/>
          <w:sz w:val="24"/>
          <w:szCs w:val="24"/>
        </w:rPr>
        <w:t xml:space="preserve">L’epoca </w:t>
      </w:r>
      <w:r w:rsidR="00932664" w:rsidRPr="00932664">
        <w:rPr>
          <w:rFonts w:ascii="Times New Roman" w:hAnsi="Times New Roman"/>
          <w:sz w:val="24"/>
          <w:szCs w:val="24"/>
        </w:rPr>
        <w:t>dualistica</w:t>
      </w:r>
      <w:r w:rsidR="00E656C7">
        <w:rPr>
          <w:rFonts w:ascii="Times New Roman" w:hAnsi="Times New Roman"/>
          <w:sz w:val="24"/>
          <w:szCs w:val="24"/>
        </w:rPr>
        <w:t xml:space="preserve"> ungherese</w:t>
      </w:r>
      <w:r w:rsidRPr="00932664">
        <w:rPr>
          <w:rFonts w:ascii="Times New Roman" w:hAnsi="Times New Roman"/>
          <w:sz w:val="24"/>
          <w:szCs w:val="24"/>
        </w:rPr>
        <w:t xml:space="preserve"> </w:t>
      </w:r>
      <w:r>
        <w:rPr>
          <w:rFonts w:ascii="Times New Roman" w:hAnsi="Times New Roman"/>
          <w:sz w:val="24"/>
          <w:szCs w:val="24"/>
        </w:rPr>
        <w:t>fu teatro del continuo e serrato confronto</w:t>
      </w:r>
      <w:r w:rsidR="0046250E">
        <w:rPr>
          <w:rFonts w:ascii="Times New Roman" w:hAnsi="Times New Roman"/>
          <w:sz w:val="24"/>
          <w:szCs w:val="24"/>
        </w:rPr>
        <w:t xml:space="preserve"> fra</w:t>
      </w:r>
      <w:r w:rsidR="00F9576C">
        <w:rPr>
          <w:rFonts w:ascii="Times New Roman" w:hAnsi="Times New Roman"/>
          <w:sz w:val="24"/>
          <w:szCs w:val="24"/>
        </w:rPr>
        <w:t xml:space="preserve"> i liberali sostenitori del Dualismo e l’opposizione parlamentare, riunita principalmente nel</w:t>
      </w:r>
      <w:r w:rsidR="00A840A9">
        <w:rPr>
          <w:rFonts w:ascii="Times New Roman" w:hAnsi="Times New Roman"/>
          <w:sz w:val="24"/>
          <w:szCs w:val="24"/>
        </w:rPr>
        <w:t xml:space="preserve"> Part</w:t>
      </w:r>
      <w:r w:rsidR="0046250E">
        <w:rPr>
          <w:rFonts w:ascii="Times New Roman" w:hAnsi="Times New Roman"/>
          <w:sz w:val="24"/>
          <w:szCs w:val="24"/>
        </w:rPr>
        <w:t xml:space="preserve">ito </w:t>
      </w:r>
      <w:r w:rsidR="0046250E">
        <w:rPr>
          <w:rFonts w:ascii="Times New Roman" w:hAnsi="Times New Roman"/>
          <w:sz w:val="24"/>
          <w:szCs w:val="24"/>
        </w:rPr>
        <w:lastRenderedPageBreak/>
        <w:t>dell’Indipendenza</w:t>
      </w:r>
      <w:r w:rsidR="00A840A9">
        <w:rPr>
          <w:rFonts w:ascii="Times New Roman" w:hAnsi="Times New Roman"/>
          <w:sz w:val="24"/>
          <w:szCs w:val="24"/>
        </w:rPr>
        <w:t xml:space="preserve">. </w:t>
      </w:r>
      <w:r w:rsidR="00B317EE">
        <w:rPr>
          <w:rFonts w:ascii="Times New Roman" w:hAnsi="Times New Roman"/>
          <w:sz w:val="24"/>
          <w:szCs w:val="24"/>
        </w:rPr>
        <w:t>Custodi d</w:t>
      </w:r>
      <w:r w:rsidR="00747DBD">
        <w:rPr>
          <w:rFonts w:ascii="Times New Roman" w:hAnsi="Times New Roman"/>
          <w:sz w:val="24"/>
          <w:szCs w:val="24"/>
        </w:rPr>
        <w:t xml:space="preserve">ella tradizione quarantottesca, gli indipendentisti </w:t>
      </w:r>
      <w:r w:rsidR="00B317EE">
        <w:rPr>
          <w:rFonts w:ascii="Times New Roman" w:hAnsi="Times New Roman"/>
          <w:sz w:val="24"/>
          <w:szCs w:val="24"/>
        </w:rPr>
        <w:t>esercitarono costanti</w:t>
      </w:r>
      <w:r w:rsidR="00A840A9">
        <w:rPr>
          <w:rFonts w:ascii="Times New Roman" w:hAnsi="Times New Roman"/>
          <w:sz w:val="24"/>
          <w:szCs w:val="24"/>
        </w:rPr>
        <w:t xml:space="preserve"> pressioni sul governo per ottenere maggiori concessioni a favore dell’Ungheria dalla controparte austriaca, diventando nel contempo i più accesi s</w:t>
      </w:r>
      <w:r w:rsidR="0057130B">
        <w:rPr>
          <w:rFonts w:ascii="Times New Roman" w:hAnsi="Times New Roman"/>
          <w:sz w:val="24"/>
          <w:szCs w:val="24"/>
        </w:rPr>
        <w:t>ostenitori della supremazia culturale</w:t>
      </w:r>
      <w:r w:rsidR="00B317EE">
        <w:rPr>
          <w:rFonts w:ascii="Times New Roman" w:hAnsi="Times New Roman"/>
          <w:sz w:val="24"/>
          <w:szCs w:val="24"/>
        </w:rPr>
        <w:t xml:space="preserve"> e politica</w:t>
      </w:r>
      <w:r w:rsidR="0057130B">
        <w:rPr>
          <w:rFonts w:ascii="Times New Roman" w:hAnsi="Times New Roman"/>
          <w:sz w:val="24"/>
          <w:szCs w:val="24"/>
        </w:rPr>
        <w:t xml:space="preserve"> dei magiari sulle nazionalità del regno d’Ungheria</w:t>
      </w:r>
      <w:r w:rsidR="00A840A9">
        <w:rPr>
          <w:rFonts w:ascii="Times New Roman" w:hAnsi="Times New Roman"/>
          <w:sz w:val="24"/>
          <w:szCs w:val="24"/>
        </w:rPr>
        <w:t xml:space="preserve">. </w:t>
      </w:r>
      <w:r w:rsidR="00F9576C">
        <w:rPr>
          <w:rFonts w:ascii="Times New Roman" w:hAnsi="Times New Roman"/>
          <w:sz w:val="24"/>
          <w:szCs w:val="24"/>
        </w:rPr>
        <w:t xml:space="preserve">Il </w:t>
      </w:r>
      <w:r w:rsidR="00932664">
        <w:rPr>
          <w:rFonts w:ascii="Times New Roman" w:hAnsi="Times New Roman"/>
          <w:sz w:val="24"/>
          <w:szCs w:val="24"/>
        </w:rPr>
        <w:t>Parti</w:t>
      </w:r>
      <w:r w:rsidR="0046250E">
        <w:rPr>
          <w:rFonts w:ascii="Times New Roman" w:hAnsi="Times New Roman"/>
          <w:sz w:val="24"/>
          <w:szCs w:val="24"/>
        </w:rPr>
        <w:t xml:space="preserve">to liberale </w:t>
      </w:r>
      <w:r w:rsidR="00F9576C">
        <w:rPr>
          <w:rFonts w:ascii="Times New Roman" w:hAnsi="Times New Roman"/>
          <w:sz w:val="24"/>
          <w:szCs w:val="24"/>
        </w:rPr>
        <w:t>mantenne ininterrottamente il potere dal 1875 alla svo</w:t>
      </w:r>
      <w:r w:rsidR="00B317EE">
        <w:rPr>
          <w:rFonts w:ascii="Times New Roman" w:hAnsi="Times New Roman"/>
          <w:sz w:val="24"/>
          <w:szCs w:val="24"/>
        </w:rPr>
        <w:t>lta del secolo. Le celebrazioni del Millenario del regno ungarico, nel 1896, malgrado lo sfarzo esteriore, aprirono in realtà un’epoca di crisi,</w:t>
      </w:r>
      <w:r w:rsidR="001F54D9">
        <w:rPr>
          <w:rFonts w:ascii="Times New Roman" w:hAnsi="Times New Roman"/>
          <w:sz w:val="24"/>
          <w:szCs w:val="24"/>
        </w:rPr>
        <w:t xml:space="preserve"> in cui si manifestarono acutamente le contraddizioni d</w:t>
      </w:r>
      <w:r w:rsidR="00B317EE">
        <w:rPr>
          <w:rFonts w:ascii="Times New Roman" w:hAnsi="Times New Roman"/>
          <w:sz w:val="24"/>
          <w:szCs w:val="24"/>
        </w:rPr>
        <w:t>el tentativo di conciliare le posizioni conservatrici e la politica del ‘quieta non movere’</w:t>
      </w:r>
      <w:r w:rsidR="0046250E">
        <w:rPr>
          <w:rStyle w:val="Rimandonotaapidipagina"/>
          <w:rFonts w:ascii="Times New Roman" w:hAnsi="Times New Roman"/>
          <w:sz w:val="24"/>
          <w:szCs w:val="24"/>
        </w:rPr>
        <w:footnoteReference w:id="81"/>
      </w:r>
      <w:r w:rsidR="00EB33E5">
        <w:rPr>
          <w:rFonts w:ascii="Times New Roman" w:hAnsi="Times New Roman"/>
          <w:sz w:val="24"/>
          <w:szCs w:val="24"/>
        </w:rPr>
        <w:t xml:space="preserve"> con le rivendicazioni politiche più avanzate</w:t>
      </w:r>
      <w:r w:rsidR="001F54D9">
        <w:rPr>
          <w:rFonts w:ascii="Times New Roman" w:hAnsi="Times New Roman"/>
          <w:sz w:val="24"/>
          <w:szCs w:val="24"/>
        </w:rPr>
        <w:t xml:space="preserve">, fra tutte la questione dell’allargamento del suffragio. I liberali persero il potere dopo una serie di governi di breve durata dal 1899 al 1905, </w:t>
      </w:r>
      <w:r w:rsidR="007C075E">
        <w:rPr>
          <w:rFonts w:ascii="Times New Roman" w:hAnsi="Times New Roman"/>
          <w:sz w:val="24"/>
          <w:szCs w:val="24"/>
        </w:rPr>
        <w:t>per riprenderlo</w:t>
      </w:r>
      <w:r w:rsidR="001F54D9">
        <w:rPr>
          <w:rFonts w:ascii="Times New Roman" w:hAnsi="Times New Roman"/>
          <w:sz w:val="24"/>
          <w:szCs w:val="24"/>
        </w:rPr>
        <w:t xml:space="preserve"> nel 1910</w:t>
      </w:r>
      <w:r w:rsidR="007C075E">
        <w:rPr>
          <w:rFonts w:ascii="Times New Roman" w:hAnsi="Times New Roman"/>
          <w:sz w:val="24"/>
          <w:szCs w:val="24"/>
        </w:rPr>
        <w:t xml:space="preserve"> con il nome d</w:t>
      </w:r>
      <w:r w:rsidR="00D8148A">
        <w:rPr>
          <w:rFonts w:ascii="Times New Roman" w:hAnsi="Times New Roman"/>
          <w:sz w:val="24"/>
          <w:szCs w:val="24"/>
        </w:rPr>
        <w:t>i Partito nazionale del Lavoro,</w:t>
      </w:r>
      <w:r w:rsidR="001F54D9">
        <w:rPr>
          <w:rFonts w:ascii="Times New Roman" w:hAnsi="Times New Roman"/>
          <w:sz w:val="24"/>
          <w:szCs w:val="24"/>
        </w:rPr>
        <w:t xml:space="preserve"> dopo il breve interludio di</w:t>
      </w:r>
      <w:r w:rsidR="00932664" w:rsidRPr="007C075E">
        <w:rPr>
          <w:rFonts w:ascii="Times New Roman" w:hAnsi="Times New Roman"/>
          <w:sz w:val="24"/>
          <w:szCs w:val="24"/>
        </w:rPr>
        <w:t xml:space="preserve"> </w:t>
      </w:r>
      <w:r w:rsidR="00A016E8">
        <w:rPr>
          <w:rFonts w:ascii="Times New Roman" w:hAnsi="Times New Roman"/>
          <w:sz w:val="24"/>
          <w:szCs w:val="24"/>
        </w:rPr>
        <w:t>un governo d’emergenza</w:t>
      </w:r>
      <w:r w:rsidR="005030B6">
        <w:rPr>
          <w:rFonts w:ascii="Times New Roman" w:hAnsi="Times New Roman"/>
          <w:sz w:val="24"/>
          <w:szCs w:val="24"/>
        </w:rPr>
        <w:t xml:space="preserve"> </w:t>
      </w:r>
      <w:r w:rsidR="00932664">
        <w:rPr>
          <w:rFonts w:ascii="Times New Roman" w:hAnsi="Times New Roman"/>
          <w:sz w:val="24"/>
          <w:szCs w:val="24"/>
        </w:rPr>
        <w:t>imposto dal re</w:t>
      </w:r>
      <w:r w:rsidR="005030B6">
        <w:rPr>
          <w:rFonts w:ascii="Times New Roman" w:hAnsi="Times New Roman"/>
          <w:sz w:val="24"/>
          <w:szCs w:val="24"/>
        </w:rPr>
        <w:t xml:space="preserve"> (1905-1906)</w:t>
      </w:r>
      <w:r w:rsidR="001F54D9">
        <w:rPr>
          <w:rFonts w:ascii="Times New Roman" w:hAnsi="Times New Roman"/>
          <w:sz w:val="24"/>
          <w:szCs w:val="24"/>
        </w:rPr>
        <w:t xml:space="preserve"> e la parentesi della </w:t>
      </w:r>
      <w:r w:rsidR="00932664">
        <w:rPr>
          <w:rFonts w:ascii="Times New Roman" w:hAnsi="Times New Roman"/>
          <w:sz w:val="24"/>
          <w:szCs w:val="24"/>
        </w:rPr>
        <w:t>cos</w:t>
      </w:r>
      <w:r w:rsidR="00F9576C">
        <w:rPr>
          <w:rFonts w:ascii="Times New Roman" w:hAnsi="Times New Roman"/>
          <w:sz w:val="24"/>
          <w:szCs w:val="24"/>
        </w:rPr>
        <w:t xml:space="preserve">iddetta Coalizione, </w:t>
      </w:r>
      <w:r w:rsidR="005030B6">
        <w:rPr>
          <w:rFonts w:ascii="Times New Roman" w:hAnsi="Times New Roman"/>
          <w:sz w:val="24"/>
          <w:szCs w:val="24"/>
        </w:rPr>
        <w:t>(1906-1910)</w:t>
      </w:r>
      <w:r w:rsidR="001F54D9">
        <w:rPr>
          <w:rFonts w:ascii="Times New Roman" w:hAnsi="Times New Roman"/>
          <w:sz w:val="24"/>
          <w:szCs w:val="24"/>
        </w:rPr>
        <w:t>, guidata dal Partito dell’</w:t>
      </w:r>
      <w:r w:rsidR="00EB33E5">
        <w:rPr>
          <w:rFonts w:ascii="Times New Roman" w:hAnsi="Times New Roman"/>
          <w:sz w:val="24"/>
          <w:szCs w:val="24"/>
        </w:rPr>
        <w:t>Indipendenza</w:t>
      </w:r>
      <w:r w:rsidR="00D8148A">
        <w:rPr>
          <w:rStyle w:val="Rimandonotaapidipagina"/>
          <w:rFonts w:ascii="Times New Roman" w:hAnsi="Times New Roman"/>
          <w:sz w:val="24"/>
          <w:szCs w:val="24"/>
        </w:rPr>
        <w:footnoteReference w:id="82"/>
      </w:r>
      <w:r w:rsidR="00EB33E5">
        <w:rPr>
          <w:rFonts w:ascii="Times New Roman" w:hAnsi="Times New Roman"/>
          <w:sz w:val="24"/>
          <w:szCs w:val="24"/>
        </w:rPr>
        <w:t>. In un mondo politico ancora</w:t>
      </w:r>
      <w:r w:rsidR="00221E6F">
        <w:rPr>
          <w:rFonts w:ascii="Times New Roman" w:hAnsi="Times New Roman"/>
          <w:sz w:val="24"/>
          <w:szCs w:val="24"/>
        </w:rPr>
        <w:t xml:space="preserve"> </w:t>
      </w:r>
      <w:r w:rsidR="007C075E">
        <w:rPr>
          <w:rFonts w:ascii="Times New Roman" w:hAnsi="Times New Roman"/>
          <w:sz w:val="24"/>
          <w:szCs w:val="24"/>
        </w:rPr>
        <w:t>dominato dall’</w:t>
      </w:r>
      <w:r w:rsidR="00221E6F">
        <w:rPr>
          <w:rFonts w:ascii="Times New Roman" w:hAnsi="Times New Roman"/>
          <w:sz w:val="24"/>
          <w:szCs w:val="24"/>
        </w:rPr>
        <w:t>aristocrazia</w:t>
      </w:r>
      <w:r w:rsidR="00D73FD8">
        <w:rPr>
          <w:rFonts w:ascii="Times New Roman" w:hAnsi="Times New Roman"/>
          <w:sz w:val="24"/>
          <w:szCs w:val="24"/>
        </w:rPr>
        <w:t xml:space="preserve"> magiara e assimilata, </w:t>
      </w:r>
      <w:r w:rsidR="007C075E">
        <w:rPr>
          <w:rFonts w:ascii="Times New Roman" w:hAnsi="Times New Roman"/>
          <w:sz w:val="24"/>
          <w:szCs w:val="24"/>
        </w:rPr>
        <w:t>caratterizzato da una diffusa corruzione</w:t>
      </w:r>
      <w:r w:rsidR="00D90CBE">
        <w:rPr>
          <w:rStyle w:val="Rimandonotaapidipagina"/>
          <w:rFonts w:ascii="Times New Roman" w:hAnsi="Times New Roman"/>
          <w:sz w:val="24"/>
          <w:szCs w:val="24"/>
        </w:rPr>
        <w:footnoteReference w:id="83"/>
      </w:r>
      <w:r w:rsidR="007C075E">
        <w:rPr>
          <w:rFonts w:ascii="Times New Roman" w:hAnsi="Times New Roman"/>
          <w:sz w:val="24"/>
          <w:szCs w:val="24"/>
        </w:rPr>
        <w:t>,</w:t>
      </w:r>
      <w:r w:rsidR="00747DBD">
        <w:rPr>
          <w:rFonts w:ascii="Times New Roman" w:hAnsi="Times New Roman"/>
          <w:sz w:val="24"/>
          <w:szCs w:val="24"/>
        </w:rPr>
        <w:t xml:space="preserve"> </w:t>
      </w:r>
      <w:r w:rsidR="00D73FD8">
        <w:rPr>
          <w:rFonts w:ascii="Times New Roman" w:hAnsi="Times New Roman"/>
          <w:sz w:val="24"/>
          <w:szCs w:val="24"/>
        </w:rPr>
        <w:t>i liberali</w:t>
      </w:r>
      <w:r w:rsidR="00EB33E5">
        <w:rPr>
          <w:rFonts w:ascii="Times New Roman" w:hAnsi="Times New Roman"/>
          <w:sz w:val="24"/>
          <w:szCs w:val="24"/>
        </w:rPr>
        <w:t xml:space="preserve"> avviarono</w:t>
      </w:r>
      <w:r w:rsidR="001F54D9">
        <w:rPr>
          <w:rFonts w:ascii="Times New Roman" w:hAnsi="Times New Roman"/>
          <w:sz w:val="24"/>
          <w:szCs w:val="24"/>
        </w:rPr>
        <w:t xml:space="preserve"> e </w:t>
      </w:r>
      <w:r w:rsidR="00EB33E5">
        <w:rPr>
          <w:rFonts w:ascii="Times New Roman" w:hAnsi="Times New Roman"/>
          <w:sz w:val="24"/>
          <w:szCs w:val="24"/>
        </w:rPr>
        <w:t>gestirono</w:t>
      </w:r>
      <w:r w:rsidR="00932664">
        <w:rPr>
          <w:rFonts w:ascii="Times New Roman" w:hAnsi="Times New Roman"/>
          <w:sz w:val="24"/>
          <w:szCs w:val="24"/>
        </w:rPr>
        <w:t xml:space="preserve"> l</w:t>
      </w:r>
      <w:r w:rsidR="001306F7">
        <w:rPr>
          <w:rFonts w:ascii="Times New Roman" w:hAnsi="Times New Roman"/>
          <w:sz w:val="24"/>
          <w:szCs w:val="24"/>
        </w:rPr>
        <w:t>a modernizzazione del paese, anche se avrebbero volentieri fatto a meno della sua conseguenza più dirompente, la</w:t>
      </w:r>
      <w:r w:rsidR="001F54D9">
        <w:rPr>
          <w:rFonts w:ascii="Times New Roman" w:hAnsi="Times New Roman"/>
          <w:sz w:val="24"/>
          <w:szCs w:val="24"/>
        </w:rPr>
        <w:t xml:space="preserve"> trasformazione di una società</w:t>
      </w:r>
      <w:r w:rsidR="00932664">
        <w:rPr>
          <w:rFonts w:ascii="Times New Roman" w:hAnsi="Times New Roman"/>
          <w:sz w:val="24"/>
          <w:szCs w:val="24"/>
        </w:rPr>
        <w:t xml:space="preserve"> p</w:t>
      </w:r>
      <w:r w:rsidR="001F54D9">
        <w:rPr>
          <w:rFonts w:ascii="Times New Roman" w:hAnsi="Times New Roman"/>
          <w:sz w:val="24"/>
          <w:szCs w:val="24"/>
        </w:rPr>
        <w:t>atriarcale in una moderna e di massa</w:t>
      </w:r>
      <w:r w:rsidR="00932664">
        <w:rPr>
          <w:rFonts w:ascii="Times New Roman" w:hAnsi="Times New Roman"/>
          <w:sz w:val="24"/>
          <w:szCs w:val="24"/>
        </w:rPr>
        <w:t>.</w:t>
      </w:r>
      <w:r w:rsidR="007C075E">
        <w:rPr>
          <w:rFonts w:ascii="Times New Roman" w:hAnsi="Times New Roman"/>
          <w:sz w:val="24"/>
          <w:szCs w:val="24"/>
        </w:rPr>
        <w:t xml:space="preserve"> </w:t>
      </w:r>
      <w:r w:rsidR="00265FAA">
        <w:rPr>
          <w:rFonts w:ascii="Times New Roman" w:hAnsi="Times New Roman"/>
          <w:sz w:val="24"/>
          <w:szCs w:val="24"/>
        </w:rPr>
        <w:t xml:space="preserve">Nei primi anni del Novecento </w:t>
      </w:r>
      <w:r w:rsidR="00895956">
        <w:rPr>
          <w:rFonts w:ascii="Times New Roman" w:hAnsi="Times New Roman"/>
          <w:sz w:val="24"/>
          <w:szCs w:val="24"/>
        </w:rPr>
        <w:t xml:space="preserve">si era formata </w:t>
      </w:r>
      <w:r w:rsidR="00265FAA">
        <w:rPr>
          <w:rFonts w:ascii="Times New Roman" w:hAnsi="Times New Roman"/>
          <w:sz w:val="24"/>
          <w:szCs w:val="24"/>
        </w:rPr>
        <w:t>una nuova costellazione di parti</w:t>
      </w:r>
      <w:r w:rsidR="00895956">
        <w:rPr>
          <w:rFonts w:ascii="Times New Roman" w:hAnsi="Times New Roman"/>
          <w:sz w:val="24"/>
          <w:szCs w:val="24"/>
        </w:rPr>
        <w:t>ti politici accanto a quelli ormai storici.</w:t>
      </w:r>
      <w:r w:rsidR="00265FAA">
        <w:rPr>
          <w:rFonts w:ascii="Times New Roman" w:hAnsi="Times New Roman"/>
          <w:sz w:val="24"/>
          <w:szCs w:val="24"/>
        </w:rPr>
        <w:t xml:space="preserve"> Al tentativo di avviare un nuovo corso liberal-democratico contribuirono il </w:t>
      </w:r>
      <w:r w:rsidR="00D511D1">
        <w:rPr>
          <w:rFonts w:ascii="Times New Roman" w:hAnsi="Times New Roman"/>
          <w:sz w:val="24"/>
          <w:szCs w:val="24"/>
        </w:rPr>
        <w:t xml:space="preserve">Partito </w:t>
      </w:r>
      <w:r w:rsidR="00265FAA">
        <w:rPr>
          <w:rFonts w:ascii="Times New Roman" w:hAnsi="Times New Roman"/>
          <w:sz w:val="24"/>
          <w:szCs w:val="24"/>
        </w:rPr>
        <w:t>socialdemocratico ungherese e</w:t>
      </w:r>
      <w:r w:rsidR="00D511D1">
        <w:rPr>
          <w:rFonts w:ascii="Times New Roman" w:hAnsi="Times New Roman"/>
          <w:sz w:val="24"/>
          <w:szCs w:val="24"/>
        </w:rPr>
        <w:t xml:space="preserve"> altre formazioni minori di ispirazione democratica</w:t>
      </w:r>
      <w:r w:rsidR="00265FAA">
        <w:rPr>
          <w:rFonts w:ascii="Times New Roman" w:hAnsi="Times New Roman"/>
          <w:sz w:val="24"/>
          <w:szCs w:val="24"/>
        </w:rPr>
        <w:t>, fra le quali l’</w:t>
      </w:r>
      <w:r w:rsidR="00D73FD8">
        <w:rPr>
          <w:rFonts w:ascii="Times New Roman" w:hAnsi="Times New Roman"/>
          <w:sz w:val="24"/>
          <w:szCs w:val="24"/>
        </w:rPr>
        <w:t>ala sinistra</w:t>
      </w:r>
      <w:r w:rsidR="009E61DE">
        <w:rPr>
          <w:rFonts w:ascii="Times New Roman" w:hAnsi="Times New Roman"/>
          <w:sz w:val="24"/>
          <w:szCs w:val="24"/>
        </w:rPr>
        <w:t xml:space="preserve"> de</w:t>
      </w:r>
      <w:r w:rsidR="00265FAA">
        <w:rPr>
          <w:rFonts w:ascii="Times New Roman" w:hAnsi="Times New Roman"/>
          <w:sz w:val="24"/>
          <w:szCs w:val="24"/>
        </w:rPr>
        <w:t xml:space="preserve">l Partito dell’Indipendenza, il cosiddetto gruppo </w:t>
      </w:r>
      <w:r w:rsidR="009E61DE" w:rsidRPr="009E61DE">
        <w:rPr>
          <w:rFonts w:ascii="Times New Roman" w:hAnsi="Times New Roman"/>
          <w:sz w:val="24"/>
          <w:szCs w:val="24"/>
        </w:rPr>
        <w:t>Károlyi-Justh</w:t>
      </w:r>
      <w:r w:rsidR="009E61DE">
        <w:rPr>
          <w:rStyle w:val="Rimandonotaapidipagina"/>
          <w:rFonts w:ascii="Times New Roman" w:hAnsi="Times New Roman"/>
          <w:sz w:val="24"/>
          <w:szCs w:val="24"/>
        </w:rPr>
        <w:footnoteReference w:id="84"/>
      </w:r>
      <w:r w:rsidR="009E61DE">
        <w:rPr>
          <w:rFonts w:ascii="Times New Roman" w:hAnsi="Times New Roman"/>
          <w:sz w:val="24"/>
          <w:szCs w:val="24"/>
        </w:rPr>
        <w:t>.</w:t>
      </w:r>
      <w:r w:rsidR="00D511D1">
        <w:rPr>
          <w:rFonts w:ascii="Times New Roman" w:hAnsi="Times New Roman"/>
          <w:sz w:val="24"/>
          <w:szCs w:val="24"/>
        </w:rPr>
        <w:t xml:space="preserve"> </w:t>
      </w:r>
      <w:r w:rsidR="009E61DE">
        <w:rPr>
          <w:rFonts w:ascii="Times New Roman" w:hAnsi="Times New Roman"/>
          <w:sz w:val="24"/>
          <w:szCs w:val="24"/>
        </w:rPr>
        <w:t>L</w:t>
      </w:r>
      <w:r w:rsidR="00265FAA">
        <w:rPr>
          <w:rFonts w:ascii="Times New Roman" w:hAnsi="Times New Roman"/>
          <w:sz w:val="24"/>
          <w:szCs w:val="24"/>
        </w:rPr>
        <w:t xml:space="preserve">e </w:t>
      </w:r>
      <w:r w:rsidR="00D511D1">
        <w:rPr>
          <w:rFonts w:ascii="Times New Roman" w:hAnsi="Times New Roman"/>
          <w:sz w:val="24"/>
          <w:szCs w:val="24"/>
        </w:rPr>
        <w:t xml:space="preserve">formazioni politiche </w:t>
      </w:r>
      <w:r w:rsidR="00265FAA">
        <w:rPr>
          <w:rFonts w:ascii="Times New Roman" w:hAnsi="Times New Roman"/>
          <w:sz w:val="24"/>
          <w:szCs w:val="24"/>
        </w:rPr>
        <w:t xml:space="preserve">di maggior prestigio e numero di seggi </w:t>
      </w:r>
      <w:r w:rsidR="00D511D1">
        <w:rPr>
          <w:rFonts w:ascii="Times New Roman" w:hAnsi="Times New Roman"/>
          <w:sz w:val="24"/>
          <w:szCs w:val="24"/>
        </w:rPr>
        <w:t>nel</w:t>
      </w:r>
      <w:r w:rsidR="00895956">
        <w:rPr>
          <w:rFonts w:ascii="Times New Roman" w:hAnsi="Times New Roman"/>
          <w:sz w:val="24"/>
          <w:szCs w:val="24"/>
        </w:rPr>
        <w:t>la Camera bassa d</w:t>
      </w:r>
      <w:r w:rsidR="00265FAA">
        <w:rPr>
          <w:rFonts w:ascii="Times New Roman" w:hAnsi="Times New Roman"/>
          <w:sz w:val="24"/>
          <w:szCs w:val="24"/>
        </w:rPr>
        <w:t>el</w:t>
      </w:r>
      <w:r w:rsidR="00D511D1">
        <w:rPr>
          <w:rFonts w:ascii="Times New Roman" w:hAnsi="Times New Roman"/>
          <w:sz w:val="24"/>
          <w:szCs w:val="24"/>
        </w:rPr>
        <w:t xml:space="preserve"> Parlamento nazionale condivisero l’obiettivo</w:t>
      </w:r>
      <w:r>
        <w:rPr>
          <w:rFonts w:ascii="Times New Roman" w:hAnsi="Times New Roman"/>
          <w:sz w:val="24"/>
          <w:szCs w:val="24"/>
        </w:rPr>
        <w:t xml:space="preserve"> di mantenere saldamente il controllo del </w:t>
      </w:r>
      <w:r w:rsidR="00F864CB">
        <w:rPr>
          <w:rFonts w:ascii="Times New Roman" w:hAnsi="Times New Roman"/>
          <w:sz w:val="24"/>
          <w:szCs w:val="24"/>
        </w:rPr>
        <w:t xml:space="preserve">paese attraverso </w:t>
      </w:r>
      <w:r>
        <w:rPr>
          <w:rFonts w:ascii="Times New Roman" w:hAnsi="Times New Roman"/>
          <w:sz w:val="24"/>
          <w:szCs w:val="24"/>
        </w:rPr>
        <w:t>un blocco di potere aristocratico-borghese che cooptas</w:t>
      </w:r>
      <w:r w:rsidR="001306F7">
        <w:rPr>
          <w:rFonts w:ascii="Times New Roman" w:hAnsi="Times New Roman"/>
          <w:sz w:val="24"/>
          <w:szCs w:val="24"/>
        </w:rPr>
        <w:t xml:space="preserve">se i membri più influenti delle </w:t>
      </w:r>
      <w:r w:rsidR="001306F7" w:rsidRPr="001306F7">
        <w:rPr>
          <w:rFonts w:ascii="Times New Roman" w:hAnsi="Times New Roman"/>
          <w:i/>
          <w:sz w:val="24"/>
          <w:szCs w:val="24"/>
        </w:rPr>
        <w:t>élites</w:t>
      </w:r>
      <w:r w:rsidR="001306F7">
        <w:rPr>
          <w:rFonts w:ascii="Times New Roman" w:hAnsi="Times New Roman"/>
          <w:sz w:val="24"/>
          <w:szCs w:val="24"/>
        </w:rPr>
        <w:t xml:space="preserve"> delle </w:t>
      </w:r>
      <w:r w:rsidR="001306F7">
        <w:rPr>
          <w:rFonts w:ascii="Times New Roman" w:hAnsi="Times New Roman"/>
          <w:sz w:val="24"/>
          <w:szCs w:val="24"/>
        </w:rPr>
        <w:lastRenderedPageBreak/>
        <w:t xml:space="preserve">altre nazionalità, </w:t>
      </w:r>
      <w:r w:rsidR="00932664">
        <w:rPr>
          <w:rFonts w:ascii="Times New Roman" w:hAnsi="Times New Roman"/>
          <w:sz w:val="24"/>
          <w:szCs w:val="24"/>
        </w:rPr>
        <w:t xml:space="preserve">disposte all’assimilazione linguistica e culturale. </w:t>
      </w:r>
      <w:r>
        <w:rPr>
          <w:rFonts w:ascii="Times New Roman" w:hAnsi="Times New Roman"/>
          <w:sz w:val="24"/>
          <w:szCs w:val="24"/>
        </w:rPr>
        <w:t>Fu questa una delle ragioni della mancata concessione del suffragio uni</w:t>
      </w:r>
      <w:r w:rsidR="00D72580">
        <w:rPr>
          <w:rFonts w:ascii="Times New Roman" w:hAnsi="Times New Roman"/>
          <w:sz w:val="24"/>
          <w:szCs w:val="24"/>
        </w:rPr>
        <w:t>versale maschile</w:t>
      </w:r>
      <w:r w:rsidR="00CE424A">
        <w:rPr>
          <w:rFonts w:ascii="Times New Roman" w:hAnsi="Times New Roman"/>
          <w:sz w:val="24"/>
          <w:szCs w:val="24"/>
        </w:rPr>
        <w:t>.</w:t>
      </w:r>
      <w:r w:rsidR="001306F7">
        <w:rPr>
          <w:rFonts w:ascii="Times New Roman" w:hAnsi="Times New Roman"/>
          <w:sz w:val="24"/>
          <w:szCs w:val="24"/>
        </w:rPr>
        <w:t xml:space="preserve"> </w:t>
      </w:r>
    </w:p>
    <w:p w14:paraId="773FC118" w14:textId="7F04106C" w:rsidR="00C947BB" w:rsidRPr="005F34DD" w:rsidRDefault="00813AE2" w:rsidP="006D6265">
      <w:pPr>
        <w:pStyle w:val="Testonotaapidipagina"/>
        <w:spacing w:before="100" w:beforeAutospacing="1" w:after="100" w:afterAutospacing="1" w:line="360" w:lineRule="auto"/>
        <w:ind w:right="567"/>
        <w:jc w:val="both"/>
        <w:rPr>
          <w:rFonts w:ascii="Times New Roman" w:hAnsi="Times New Roman"/>
          <w:i/>
          <w:sz w:val="24"/>
          <w:szCs w:val="24"/>
        </w:rPr>
      </w:pPr>
      <w:r>
        <w:rPr>
          <w:rFonts w:ascii="Times New Roman" w:hAnsi="Times New Roman"/>
          <w:i/>
          <w:sz w:val="24"/>
          <w:szCs w:val="24"/>
        </w:rPr>
        <w:t>La scelta fatale</w:t>
      </w:r>
    </w:p>
    <w:p w14:paraId="0556AF64" w14:textId="16D81516" w:rsidR="00A529CE" w:rsidRPr="0068692D" w:rsidRDefault="00C947BB" w:rsidP="008811ED">
      <w:pPr>
        <w:spacing w:line="360" w:lineRule="auto"/>
        <w:ind w:right="567"/>
        <w:jc w:val="both"/>
        <w:rPr>
          <w:rFonts w:ascii="Times New Roman" w:hAnsi="Times New Roman"/>
          <w:sz w:val="24"/>
          <w:szCs w:val="24"/>
        </w:rPr>
      </w:pPr>
      <w:r>
        <w:rPr>
          <w:rFonts w:ascii="Times New Roman" w:hAnsi="Times New Roman"/>
          <w:sz w:val="24"/>
          <w:szCs w:val="24"/>
        </w:rPr>
        <w:t>Malgrado le differenze tra le due me</w:t>
      </w:r>
      <w:r w:rsidR="00E9683D">
        <w:rPr>
          <w:rFonts w:ascii="Times New Roman" w:hAnsi="Times New Roman"/>
          <w:sz w:val="24"/>
          <w:szCs w:val="24"/>
        </w:rPr>
        <w:t>tà della m</w:t>
      </w:r>
      <w:r>
        <w:rPr>
          <w:rFonts w:ascii="Times New Roman" w:hAnsi="Times New Roman"/>
          <w:sz w:val="24"/>
          <w:szCs w:val="24"/>
        </w:rPr>
        <w:t>onarchia e le molte questioni irri</w:t>
      </w:r>
      <w:r w:rsidR="00895956">
        <w:rPr>
          <w:rFonts w:ascii="Times New Roman" w:hAnsi="Times New Roman"/>
          <w:sz w:val="24"/>
          <w:szCs w:val="24"/>
        </w:rPr>
        <w:t>solte, il cinquantennio del sistema dualistico</w:t>
      </w:r>
      <w:r w:rsidR="00C95AFB">
        <w:rPr>
          <w:rFonts w:ascii="Times New Roman" w:hAnsi="Times New Roman"/>
          <w:sz w:val="24"/>
          <w:szCs w:val="24"/>
        </w:rPr>
        <w:t xml:space="preserve"> fu caratterizzato da </w:t>
      </w:r>
      <w:r>
        <w:rPr>
          <w:rFonts w:ascii="Times New Roman" w:hAnsi="Times New Roman"/>
          <w:sz w:val="24"/>
          <w:szCs w:val="24"/>
        </w:rPr>
        <w:t>uno sviluppo senza p</w:t>
      </w:r>
      <w:r w:rsidR="00C95AFB">
        <w:rPr>
          <w:rFonts w:ascii="Times New Roman" w:hAnsi="Times New Roman"/>
          <w:sz w:val="24"/>
          <w:szCs w:val="24"/>
        </w:rPr>
        <w:t>recedenti, che impose</w:t>
      </w:r>
      <w:r>
        <w:rPr>
          <w:rFonts w:ascii="Times New Roman" w:hAnsi="Times New Roman"/>
          <w:sz w:val="24"/>
          <w:szCs w:val="24"/>
        </w:rPr>
        <w:t xml:space="preserve"> le cont</w:t>
      </w:r>
      <w:r w:rsidR="00C95AFB">
        <w:rPr>
          <w:rFonts w:ascii="Times New Roman" w:hAnsi="Times New Roman"/>
          <w:sz w:val="24"/>
          <w:szCs w:val="24"/>
        </w:rPr>
        <w:t xml:space="preserve">raddizioni e le tensioni connesse </w:t>
      </w:r>
      <w:r>
        <w:rPr>
          <w:rFonts w:ascii="Times New Roman" w:hAnsi="Times New Roman"/>
          <w:sz w:val="24"/>
          <w:szCs w:val="24"/>
        </w:rPr>
        <w:t xml:space="preserve">all’irruzione </w:t>
      </w:r>
      <w:r w:rsidR="00C95AFB">
        <w:rPr>
          <w:rFonts w:ascii="Times New Roman" w:hAnsi="Times New Roman"/>
          <w:sz w:val="24"/>
          <w:szCs w:val="24"/>
        </w:rPr>
        <w:t>della modernità</w:t>
      </w:r>
      <w:r>
        <w:rPr>
          <w:rFonts w:ascii="Times New Roman" w:hAnsi="Times New Roman"/>
          <w:sz w:val="24"/>
          <w:szCs w:val="24"/>
        </w:rPr>
        <w:t>. Per la sua natura di delicata trama interetnica, minacciata dall</w:t>
      </w:r>
      <w:r w:rsidR="006172AC">
        <w:rPr>
          <w:rFonts w:ascii="Times New Roman" w:hAnsi="Times New Roman"/>
          <w:sz w:val="24"/>
          <w:szCs w:val="24"/>
        </w:rPr>
        <w:t xml:space="preserve">a crescente </w:t>
      </w:r>
      <w:r>
        <w:rPr>
          <w:rFonts w:ascii="Times New Roman" w:hAnsi="Times New Roman"/>
          <w:sz w:val="24"/>
          <w:szCs w:val="24"/>
        </w:rPr>
        <w:t xml:space="preserve">aggressività dei </w:t>
      </w:r>
      <w:r w:rsidR="00E01890">
        <w:rPr>
          <w:rFonts w:ascii="Times New Roman" w:hAnsi="Times New Roman"/>
          <w:sz w:val="24"/>
          <w:szCs w:val="24"/>
        </w:rPr>
        <w:t>diversi nazionalismi, la Monarchia</w:t>
      </w:r>
      <w:r>
        <w:rPr>
          <w:rFonts w:ascii="Times New Roman" w:hAnsi="Times New Roman"/>
          <w:sz w:val="24"/>
          <w:szCs w:val="24"/>
        </w:rPr>
        <w:t xml:space="preserve"> asburgica riuscì</w:t>
      </w:r>
      <w:r w:rsidR="00E01890">
        <w:rPr>
          <w:rFonts w:ascii="Times New Roman" w:hAnsi="Times New Roman"/>
          <w:sz w:val="24"/>
          <w:szCs w:val="24"/>
        </w:rPr>
        <w:t xml:space="preserve"> a sopravvivere fintanto che il sovrano e le classi dirigenti in Austria e in Ungheria si mantennero fedeli ad una politica di pace</w:t>
      </w:r>
      <w:r w:rsidR="00EC67F9">
        <w:rPr>
          <w:rFonts w:ascii="Times New Roman" w:hAnsi="Times New Roman"/>
          <w:sz w:val="24"/>
          <w:szCs w:val="24"/>
        </w:rPr>
        <w:t xml:space="preserve">. </w:t>
      </w:r>
      <w:r w:rsidR="00371B40">
        <w:rPr>
          <w:rFonts w:ascii="Times New Roman" w:hAnsi="Times New Roman"/>
          <w:sz w:val="24"/>
          <w:szCs w:val="24"/>
        </w:rPr>
        <w:t>Dal</w:t>
      </w:r>
      <w:r w:rsidR="008A1E07">
        <w:rPr>
          <w:rFonts w:ascii="Times New Roman" w:hAnsi="Times New Roman"/>
          <w:sz w:val="24"/>
          <w:szCs w:val="24"/>
        </w:rPr>
        <w:t xml:space="preserve"> 1882 </w:t>
      </w:r>
      <w:r w:rsidR="00895956">
        <w:rPr>
          <w:rFonts w:ascii="Times New Roman" w:hAnsi="Times New Roman"/>
          <w:sz w:val="24"/>
          <w:szCs w:val="24"/>
        </w:rPr>
        <w:t>l</w:t>
      </w:r>
      <w:r w:rsidR="004C312D">
        <w:rPr>
          <w:rFonts w:ascii="Times New Roman" w:hAnsi="Times New Roman"/>
          <w:sz w:val="24"/>
          <w:szCs w:val="24"/>
        </w:rPr>
        <w:t xml:space="preserve">’Austria-Ungheria </w:t>
      </w:r>
      <w:r w:rsidR="00371B40">
        <w:rPr>
          <w:rFonts w:ascii="Times New Roman" w:hAnsi="Times New Roman"/>
          <w:sz w:val="24"/>
          <w:szCs w:val="24"/>
        </w:rPr>
        <w:t>era membro della Triplice Alleanza</w:t>
      </w:r>
      <w:r w:rsidR="008A1E07">
        <w:rPr>
          <w:rFonts w:ascii="Times New Roman" w:hAnsi="Times New Roman"/>
          <w:sz w:val="24"/>
          <w:szCs w:val="24"/>
        </w:rPr>
        <w:t>, ch</w:t>
      </w:r>
      <w:r w:rsidR="00371B40">
        <w:rPr>
          <w:rFonts w:ascii="Times New Roman" w:hAnsi="Times New Roman"/>
          <w:sz w:val="24"/>
          <w:szCs w:val="24"/>
        </w:rPr>
        <w:t>e</w:t>
      </w:r>
      <w:r w:rsidR="00E01890">
        <w:rPr>
          <w:rFonts w:ascii="Times New Roman" w:hAnsi="Times New Roman"/>
          <w:sz w:val="24"/>
          <w:szCs w:val="24"/>
        </w:rPr>
        <w:t xml:space="preserve"> di</w:t>
      </w:r>
      <w:r w:rsidR="008A1E07">
        <w:rPr>
          <w:rFonts w:ascii="Times New Roman" w:hAnsi="Times New Roman"/>
          <w:sz w:val="24"/>
          <w:szCs w:val="24"/>
        </w:rPr>
        <w:t xml:space="preserve"> fatto apriva la strada alla dipendenza dalla Germania imperiale per la realizzazione degli obiettivi di potenza e prestigio nell’</w:t>
      </w:r>
      <w:r w:rsidR="004E7EBF">
        <w:rPr>
          <w:rFonts w:ascii="Times New Roman" w:hAnsi="Times New Roman"/>
          <w:sz w:val="24"/>
          <w:szCs w:val="24"/>
        </w:rPr>
        <w:t>area bal</w:t>
      </w:r>
      <w:r w:rsidR="008A1E07">
        <w:rPr>
          <w:rFonts w:ascii="Times New Roman" w:hAnsi="Times New Roman"/>
          <w:sz w:val="24"/>
          <w:szCs w:val="24"/>
        </w:rPr>
        <w:t>canica</w:t>
      </w:r>
      <w:r w:rsidR="00371B40">
        <w:rPr>
          <w:rFonts w:ascii="Times New Roman" w:hAnsi="Times New Roman"/>
          <w:sz w:val="24"/>
          <w:szCs w:val="24"/>
        </w:rPr>
        <w:t>.</w:t>
      </w:r>
      <w:r w:rsidR="00007E93">
        <w:rPr>
          <w:rStyle w:val="Rimandonotaapidipagina"/>
          <w:rFonts w:ascii="Times New Roman" w:hAnsi="Times New Roman"/>
          <w:sz w:val="24"/>
          <w:szCs w:val="24"/>
        </w:rPr>
        <w:footnoteReference w:id="85"/>
      </w:r>
      <w:r w:rsidR="004E7EBF">
        <w:rPr>
          <w:rFonts w:ascii="Times New Roman" w:hAnsi="Times New Roman"/>
          <w:sz w:val="24"/>
          <w:szCs w:val="24"/>
        </w:rPr>
        <w:t xml:space="preserve"> Benché Austria e Ungheria divergessero sulla forma e sulla sostanza del</w:t>
      </w:r>
      <w:r w:rsidR="006172AC">
        <w:rPr>
          <w:rFonts w:ascii="Times New Roman" w:hAnsi="Times New Roman"/>
          <w:sz w:val="24"/>
          <w:szCs w:val="24"/>
        </w:rPr>
        <w:t xml:space="preserve"> predominio su</w:t>
      </w:r>
      <w:r w:rsidR="004E7EBF">
        <w:rPr>
          <w:rFonts w:ascii="Times New Roman" w:hAnsi="Times New Roman"/>
          <w:sz w:val="24"/>
          <w:szCs w:val="24"/>
        </w:rPr>
        <w:t>i Balcani occidentali, la reticenza di Budapest all’idea di inglobare nei confini del regno altre comp</w:t>
      </w:r>
      <w:r w:rsidR="001163BF">
        <w:rPr>
          <w:rFonts w:ascii="Times New Roman" w:hAnsi="Times New Roman"/>
          <w:sz w:val="24"/>
          <w:szCs w:val="24"/>
        </w:rPr>
        <w:t>onenti slave</w:t>
      </w:r>
      <w:r w:rsidR="004E7EBF">
        <w:rPr>
          <w:rFonts w:ascii="Times New Roman" w:hAnsi="Times New Roman"/>
          <w:sz w:val="24"/>
          <w:szCs w:val="24"/>
        </w:rPr>
        <w:t xml:space="preserve"> non era disgiunta dal desiderio di crearsi una propria sfera d’influenza oltre i confini meridionali dell’impero. L’occupazione della Bosnia e dell’</w:t>
      </w:r>
      <w:r w:rsidR="008957A9">
        <w:rPr>
          <w:rFonts w:ascii="Times New Roman" w:hAnsi="Times New Roman"/>
          <w:sz w:val="24"/>
          <w:szCs w:val="24"/>
        </w:rPr>
        <w:t>Erzegovina nell’estate del 1878</w:t>
      </w:r>
      <w:r w:rsidR="00007E93">
        <w:rPr>
          <w:rStyle w:val="Rimandonotaapidipagina"/>
          <w:rFonts w:ascii="Times New Roman" w:hAnsi="Times New Roman"/>
          <w:sz w:val="24"/>
          <w:szCs w:val="24"/>
        </w:rPr>
        <w:footnoteReference w:id="86"/>
      </w:r>
      <w:r w:rsidR="00007E93">
        <w:rPr>
          <w:rFonts w:ascii="Times New Roman" w:hAnsi="Times New Roman"/>
          <w:sz w:val="24"/>
          <w:szCs w:val="24"/>
        </w:rPr>
        <w:t xml:space="preserve"> </w:t>
      </w:r>
      <w:r w:rsidR="008957A9">
        <w:rPr>
          <w:rFonts w:ascii="Times New Roman" w:hAnsi="Times New Roman"/>
          <w:sz w:val="24"/>
          <w:szCs w:val="24"/>
        </w:rPr>
        <w:t>permise</w:t>
      </w:r>
      <w:r w:rsidR="004E7EBF">
        <w:rPr>
          <w:rFonts w:ascii="Times New Roman" w:hAnsi="Times New Roman"/>
          <w:sz w:val="24"/>
          <w:szCs w:val="24"/>
        </w:rPr>
        <w:t xml:space="preserve"> agli ungheresi di esercitare un ruolo crescente</w:t>
      </w:r>
      <w:r w:rsidR="00A529CE">
        <w:rPr>
          <w:rFonts w:ascii="Times New Roman" w:hAnsi="Times New Roman"/>
          <w:sz w:val="24"/>
          <w:szCs w:val="24"/>
        </w:rPr>
        <w:t xml:space="preserve"> nell’amministrazione delle due province turche</w:t>
      </w:r>
      <w:r w:rsidR="006803EB">
        <w:rPr>
          <w:rStyle w:val="Rimandonotaapidipagina"/>
          <w:rFonts w:ascii="Times New Roman" w:hAnsi="Times New Roman"/>
          <w:sz w:val="24"/>
          <w:szCs w:val="24"/>
        </w:rPr>
        <w:footnoteReference w:id="87"/>
      </w:r>
      <w:r w:rsidR="00A529CE">
        <w:rPr>
          <w:rFonts w:ascii="Times New Roman" w:hAnsi="Times New Roman"/>
          <w:sz w:val="24"/>
          <w:szCs w:val="24"/>
        </w:rPr>
        <w:t xml:space="preserve">. </w:t>
      </w:r>
      <w:r w:rsidR="00DB1BFF">
        <w:rPr>
          <w:rFonts w:ascii="Times New Roman" w:hAnsi="Times New Roman"/>
          <w:sz w:val="24"/>
          <w:szCs w:val="24"/>
        </w:rPr>
        <w:t xml:space="preserve">La prova che la Monarchia asburgica fosse tutt’altro che uno </w:t>
      </w:r>
      <w:r w:rsidR="008E6927">
        <w:rPr>
          <w:rFonts w:ascii="Times New Roman" w:hAnsi="Times New Roman"/>
          <w:sz w:val="24"/>
          <w:szCs w:val="24"/>
        </w:rPr>
        <w:t>St</w:t>
      </w:r>
      <w:r w:rsidR="008957A9">
        <w:rPr>
          <w:rFonts w:ascii="Times New Roman" w:hAnsi="Times New Roman"/>
          <w:sz w:val="24"/>
          <w:szCs w:val="24"/>
        </w:rPr>
        <w:t>ato in declino</w:t>
      </w:r>
      <w:r w:rsidR="00DB1BFF">
        <w:rPr>
          <w:rFonts w:ascii="Times New Roman" w:hAnsi="Times New Roman"/>
          <w:sz w:val="24"/>
          <w:szCs w:val="24"/>
        </w:rPr>
        <w:t xml:space="preserve"> sta</w:t>
      </w:r>
      <w:r w:rsidR="008E6927">
        <w:rPr>
          <w:rFonts w:ascii="Times New Roman" w:hAnsi="Times New Roman"/>
          <w:sz w:val="24"/>
          <w:szCs w:val="24"/>
        </w:rPr>
        <w:t xml:space="preserve"> nella sua permeabilità alle grandi correnti culturali e politiche europee della fine del XIX secolo e del primo Novecento. A</w:t>
      </w:r>
      <w:r w:rsidR="00DB1BFF">
        <w:rPr>
          <w:rFonts w:ascii="Times New Roman" w:hAnsi="Times New Roman"/>
          <w:sz w:val="24"/>
          <w:szCs w:val="24"/>
        </w:rPr>
        <w:t xml:space="preserve">nche </w:t>
      </w:r>
      <w:r w:rsidR="008E6927">
        <w:rPr>
          <w:rFonts w:ascii="Times New Roman" w:hAnsi="Times New Roman"/>
          <w:sz w:val="24"/>
          <w:szCs w:val="24"/>
        </w:rPr>
        <w:t>i</w:t>
      </w:r>
      <w:r w:rsidR="006F3B86">
        <w:rPr>
          <w:rFonts w:ascii="Times New Roman" w:hAnsi="Times New Roman"/>
          <w:sz w:val="24"/>
          <w:szCs w:val="24"/>
        </w:rPr>
        <w:t xml:space="preserve"> </w:t>
      </w:r>
      <w:r w:rsidR="008E6927">
        <w:rPr>
          <w:rFonts w:ascii="Times New Roman" w:hAnsi="Times New Roman"/>
          <w:sz w:val="24"/>
          <w:szCs w:val="24"/>
        </w:rPr>
        <w:t>‘</w:t>
      </w:r>
      <w:r w:rsidR="006F3B86">
        <w:rPr>
          <w:rFonts w:ascii="Times New Roman" w:hAnsi="Times New Roman"/>
          <w:sz w:val="24"/>
          <w:szCs w:val="24"/>
        </w:rPr>
        <w:t>falchi</w:t>
      </w:r>
      <w:r w:rsidR="008E6927">
        <w:rPr>
          <w:rFonts w:ascii="Times New Roman" w:hAnsi="Times New Roman"/>
          <w:sz w:val="24"/>
          <w:szCs w:val="24"/>
        </w:rPr>
        <w:t>’</w:t>
      </w:r>
      <w:r w:rsidR="006F3B86">
        <w:rPr>
          <w:rFonts w:ascii="Times New Roman" w:hAnsi="Times New Roman"/>
          <w:sz w:val="24"/>
          <w:szCs w:val="24"/>
        </w:rPr>
        <w:t xml:space="preserve"> austro</w:t>
      </w:r>
      <w:r w:rsidR="006F3B86" w:rsidRPr="006F3B86">
        <w:rPr>
          <w:rFonts w:ascii="Times New Roman" w:hAnsi="Times New Roman"/>
          <w:sz w:val="24"/>
          <w:szCs w:val="24"/>
        </w:rPr>
        <w:t>-ungarici erano figli del lor</w:t>
      </w:r>
      <w:r w:rsidR="006F3B86">
        <w:rPr>
          <w:rFonts w:ascii="Times New Roman" w:hAnsi="Times New Roman"/>
          <w:sz w:val="24"/>
          <w:szCs w:val="24"/>
        </w:rPr>
        <w:t>o tempo, di cui condividevano</w:t>
      </w:r>
      <w:r w:rsidR="004F20E8">
        <w:rPr>
          <w:rFonts w:ascii="Times New Roman" w:hAnsi="Times New Roman"/>
          <w:sz w:val="24"/>
          <w:szCs w:val="24"/>
        </w:rPr>
        <w:t xml:space="preserve"> la politica di potenza,</w:t>
      </w:r>
      <w:r w:rsidR="006F3B86">
        <w:rPr>
          <w:rFonts w:ascii="Times New Roman" w:hAnsi="Times New Roman"/>
          <w:sz w:val="24"/>
          <w:szCs w:val="24"/>
        </w:rPr>
        <w:t xml:space="preserve"> l’ebrez</w:t>
      </w:r>
      <w:r w:rsidR="00D60E27">
        <w:rPr>
          <w:rFonts w:ascii="Times New Roman" w:hAnsi="Times New Roman"/>
          <w:sz w:val="24"/>
          <w:szCs w:val="24"/>
        </w:rPr>
        <w:t>za del tenue discrimine</w:t>
      </w:r>
      <w:r w:rsidR="006F3B86">
        <w:rPr>
          <w:rFonts w:ascii="Times New Roman" w:hAnsi="Times New Roman"/>
          <w:sz w:val="24"/>
          <w:szCs w:val="24"/>
        </w:rPr>
        <w:t xml:space="preserve"> </w:t>
      </w:r>
      <w:r w:rsidR="006F3B86" w:rsidRPr="006F3B86">
        <w:rPr>
          <w:rFonts w:ascii="Times New Roman" w:hAnsi="Times New Roman"/>
          <w:sz w:val="24"/>
          <w:szCs w:val="24"/>
        </w:rPr>
        <w:t>fra pace e guerra, il gusto per il rischio calcolato, l’illusione della guerra breve</w:t>
      </w:r>
      <w:r w:rsidR="006172AC">
        <w:rPr>
          <w:rFonts w:ascii="Times New Roman" w:hAnsi="Times New Roman"/>
          <w:sz w:val="24"/>
          <w:szCs w:val="24"/>
        </w:rPr>
        <w:t xml:space="preserve"> e </w:t>
      </w:r>
      <w:r w:rsidR="006F3B86">
        <w:rPr>
          <w:rFonts w:ascii="Times New Roman" w:hAnsi="Times New Roman"/>
          <w:sz w:val="24"/>
          <w:szCs w:val="24"/>
        </w:rPr>
        <w:t>una vena di cinico pessimismo sul destino di imperi e nazioni</w:t>
      </w:r>
      <w:r w:rsidR="006F3B86" w:rsidRPr="006F3B86">
        <w:rPr>
          <w:rFonts w:ascii="Times New Roman" w:hAnsi="Times New Roman"/>
          <w:sz w:val="24"/>
          <w:szCs w:val="24"/>
        </w:rPr>
        <w:t>.</w:t>
      </w:r>
      <w:r w:rsidR="006F3B86">
        <w:rPr>
          <w:rFonts w:ascii="Times New Roman" w:hAnsi="Times New Roman"/>
          <w:sz w:val="24"/>
          <w:szCs w:val="24"/>
        </w:rPr>
        <w:t xml:space="preserve"> </w:t>
      </w:r>
      <w:r w:rsidR="006172AC">
        <w:rPr>
          <w:rFonts w:ascii="Times New Roman" w:hAnsi="Times New Roman"/>
          <w:sz w:val="24"/>
          <w:szCs w:val="24"/>
        </w:rPr>
        <w:t xml:space="preserve">Avevano </w:t>
      </w:r>
      <w:r w:rsidR="00DB1BFF">
        <w:rPr>
          <w:rFonts w:ascii="Times New Roman" w:hAnsi="Times New Roman"/>
          <w:sz w:val="24"/>
          <w:szCs w:val="24"/>
        </w:rPr>
        <w:t>un loro seguito nelle Forze Armate e nell’opinione pubblica austriaca e ungherese, sempre più partecipi di questio</w:t>
      </w:r>
      <w:r w:rsidR="00015A8C">
        <w:rPr>
          <w:rFonts w:ascii="Times New Roman" w:hAnsi="Times New Roman"/>
          <w:sz w:val="24"/>
          <w:szCs w:val="24"/>
        </w:rPr>
        <w:t>ni di politica estera e affascinate da tematiche imperialiste</w:t>
      </w:r>
      <w:r w:rsidR="00A3239A">
        <w:rPr>
          <w:rFonts w:ascii="Times New Roman" w:hAnsi="Times New Roman"/>
          <w:sz w:val="24"/>
          <w:szCs w:val="24"/>
        </w:rPr>
        <w:t xml:space="preserve">. </w:t>
      </w:r>
      <w:r w:rsidR="00913440">
        <w:rPr>
          <w:rFonts w:ascii="Times New Roman" w:hAnsi="Times New Roman"/>
          <w:sz w:val="24"/>
          <w:szCs w:val="24"/>
        </w:rPr>
        <w:t xml:space="preserve">A Vienna </w:t>
      </w:r>
      <w:r w:rsidR="00D91EA6">
        <w:rPr>
          <w:rFonts w:ascii="Times New Roman" w:hAnsi="Times New Roman"/>
          <w:sz w:val="24"/>
          <w:szCs w:val="24"/>
        </w:rPr>
        <w:t>la volontà di potenza</w:t>
      </w:r>
      <w:r w:rsidR="00DB1BFF">
        <w:rPr>
          <w:rFonts w:ascii="Times New Roman" w:hAnsi="Times New Roman"/>
          <w:sz w:val="24"/>
          <w:szCs w:val="24"/>
        </w:rPr>
        <w:t xml:space="preserve"> era incarnata da</w:t>
      </w:r>
      <w:r w:rsidR="00913440">
        <w:rPr>
          <w:rFonts w:ascii="Times New Roman" w:hAnsi="Times New Roman"/>
          <w:sz w:val="24"/>
          <w:szCs w:val="24"/>
        </w:rPr>
        <w:t xml:space="preserve">l capo di Stato maggiore </w:t>
      </w:r>
      <w:r w:rsidR="00913440">
        <w:rPr>
          <w:rFonts w:ascii="Times New Roman" w:hAnsi="Times New Roman"/>
          <w:sz w:val="24"/>
          <w:szCs w:val="24"/>
        </w:rPr>
        <w:lastRenderedPageBreak/>
        <w:t>dell’es</w:t>
      </w:r>
      <w:r w:rsidR="00A016E8">
        <w:rPr>
          <w:rFonts w:ascii="Times New Roman" w:hAnsi="Times New Roman"/>
          <w:sz w:val="24"/>
          <w:szCs w:val="24"/>
        </w:rPr>
        <w:t xml:space="preserve">ercito, il generale </w:t>
      </w:r>
      <w:r w:rsidR="00913440">
        <w:rPr>
          <w:rFonts w:ascii="Times New Roman" w:hAnsi="Times New Roman"/>
          <w:sz w:val="24"/>
          <w:szCs w:val="24"/>
        </w:rPr>
        <w:t xml:space="preserve">Franz Conrad von </w:t>
      </w:r>
      <w:r w:rsidR="00913440" w:rsidRPr="00913440">
        <w:rPr>
          <w:rFonts w:ascii="Times New Roman" w:hAnsi="Times New Roman"/>
          <w:sz w:val="24"/>
          <w:szCs w:val="24"/>
        </w:rPr>
        <w:t>Hötzendorf</w:t>
      </w:r>
      <w:r w:rsidR="00895956">
        <w:rPr>
          <w:rFonts w:ascii="Times New Roman" w:hAnsi="Times New Roman"/>
          <w:sz w:val="24"/>
          <w:szCs w:val="24"/>
        </w:rPr>
        <w:t>. L’annessione austro-ungarica della Bosnia-Erzegovina nel 1908 e le</w:t>
      </w:r>
      <w:r w:rsidR="00145FE3">
        <w:rPr>
          <w:rFonts w:ascii="Times New Roman" w:hAnsi="Times New Roman"/>
          <w:sz w:val="24"/>
          <w:szCs w:val="24"/>
        </w:rPr>
        <w:t xml:space="preserve"> gue</w:t>
      </w:r>
      <w:r w:rsidR="00895956">
        <w:rPr>
          <w:rFonts w:ascii="Times New Roman" w:hAnsi="Times New Roman"/>
          <w:sz w:val="24"/>
          <w:szCs w:val="24"/>
        </w:rPr>
        <w:t xml:space="preserve">rre balcaniche del 1912-13 </w:t>
      </w:r>
      <w:r w:rsidR="00145FE3">
        <w:rPr>
          <w:rFonts w:ascii="Times New Roman" w:hAnsi="Times New Roman"/>
          <w:sz w:val="24"/>
          <w:szCs w:val="24"/>
        </w:rPr>
        <w:t xml:space="preserve">avevano decretato la fine degli equilibri stabiliti a Berlino nel 1878, </w:t>
      </w:r>
      <w:r w:rsidR="00895956">
        <w:rPr>
          <w:rFonts w:ascii="Times New Roman" w:hAnsi="Times New Roman"/>
          <w:sz w:val="24"/>
          <w:szCs w:val="24"/>
        </w:rPr>
        <w:t xml:space="preserve">ma </w:t>
      </w:r>
      <w:r w:rsidR="00145FE3">
        <w:rPr>
          <w:rFonts w:ascii="Times New Roman" w:hAnsi="Times New Roman"/>
          <w:sz w:val="24"/>
          <w:szCs w:val="24"/>
        </w:rPr>
        <w:t>avevano anche persuaso Con</w:t>
      </w:r>
      <w:r w:rsidR="00986F4F">
        <w:rPr>
          <w:rFonts w:ascii="Times New Roman" w:hAnsi="Times New Roman"/>
          <w:sz w:val="24"/>
          <w:szCs w:val="24"/>
        </w:rPr>
        <w:t xml:space="preserve">rad </w:t>
      </w:r>
      <w:r w:rsidR="00F50819">
        <w:rPr>
          <w:rFonts w:ascii="Times New Roman" w:hAnsi="Times New Roman"/>
          <w:sz w:val="24"/>
          <w:szCs w:val="24"/>
        </w:rPr>
        <w:t>che la</w:t>
      </w:r>
      <w:r w:rsidR="00895956">
        <w:rPr>
          <w:rFonts w:ascii="Times New Roman" w:hAnsi="Times New Roman"/>
          <w:sz w:val="24"/>
          <w:szCs w:val="24"/>
        </w:rPr>
        <w:t xml:space="preserve"> Serbia</w:t>
      </w:r>
      <w:r w:rsidR="00145FE3">
        <w:rPr>
          <w:rFonts w:ascii="Times New Roman" w:hAnsi="Times New Roman"/>
          <w:sz w:val="24"/>
          <w:szCs w:val="24"/>
        </w:rPr>
        <w:t xml:space="preserve"> fosse ormai un nemico con cui presto o tardi avrebbe dovuto confrontarsi in armi</w:t>
      </w:r>
      <w:r w:rsidR="00986F4F">
        <w:rPr>
          <w:rFonts w:ascii="Times New Roman" w:hAnsi="Times New Roman"/>
          <w:sz w:val="24"/>
          <w:szCs w:val="24"/>
        </w:rPr>
        <w:t>.</w:t>
      </w:r>
      <w:r w:rsidR="0068619D">
        <w:rPr>
          <w:rStyle w:val="Rimandonotaapidipagina"/>
          <w:rFonts w:ascii="Times New Roman" w:hAnsi="Times New Roman"/>
          <w:sz w:val="24"/>
          <w:szCs w:val="24"/>
        </w:rPr>
        <w:footnoteReference w:id="88"/>
      </w:r>
      <w:r w:rsidR="00913440">
        <w:rPr>
          <w:rFonts w:ascii="Times New Roman" w:hAnsi="Times New Roman"/>
          <w:sz w:val="24"/>
          <w:szCs w:val="24"/>
        </w:rPr>
        <w:t xml:space="preserve"> </w:t>
      </w:r>
      <w:r w:rsidR="00A3239A">
        <w:rPr>
          <w:rFonts w:ascii="Times New Roman" w:hAnsi="Times New Roman"/>
          <w:sz w:val="24"/>
          <w:szCs w:val="24"/>
        </w:rPr>
        <w:t>Il 28 giugno 1914 l’attentato di Sarajevo, costato la vita dell’ere</w:t>
      </w:r>
      <w:r w:rsidR="00F50819">
        <w:rPr>
          <w:rFonts w:ascii="Times New Roman" w:hAnsi="Times New Roman"/>
          <w:sz w:val="24"/>
          <w:szCs w:val="24"/>
        </w:rPr>
        <w:t>de al trono austro-ungarico</w:t>
      </w:r>
      <w:r w:rsidR="00A3239A">
        <w:rPr>
          <w:rFonts w:ascii="Times New Roman" w:hAnsi="Times New Roman"/>
          <w:sz w:val="24"/>
          <w:szCs w:val="24"/>
        </w:rPr>
        <w:t>, persuase Conrad e i fautori della guerra preventiva che fosse giunto il momento di regolare i conti con</w:t>
      </w:r>
      <w:r w:rsidR="00F50819">
        <w:rPr>
          <w:rFonts w:ascii="Times New Roman" w:hAnsi="Times New Roman"/>
          <w:sz w:val="24"/>
          <w:szCs w:val="24"/>
        </w:rPr>
        <w:t xml:space="preserve"> i serbi</w:t>
      </w:r>
      <w:r w:rsidR="00986F4F">
        <w:rPr>
          <w:rFonts w:ascii="Times New Roman" w:hAnsi="Times New Roman"/>
          <w:sz w:val="24"/>
          <w:szCs w:val="24"/>
        </w:rPr>
        <w:t>,</w:t>
      </w:r>
      <w:r w:rsidR="00A3239A">
        <w:rPr>
          <w:rFonts w:ascii="Times New Roman" w:hAnsi="Times New Roman"/>
          <w:sz w:val="24"/>
          <w:szCs w:val="24"/>
        </w:rPr>
        <w:t xml:space="preserve"> imboccando tuttavia</w:t>
      </w:r>
      <w:r w:rsidR="006F3B86">
        <w:rPr>
          <w:rFonts w:ascii="Times New Roman" w:hAnsi="Times New Roman"/>
          <w:sz w:val="24"/>
          <w:szCs w:val="24"/>
        </w:rPr>
        <w:t xml:space="preserve"> una strada oltremodo rischiosa, cui solo una rapida e completa vittoria militare avrebbe offerto un’uscita che giustificasse i rischi</w:t>
      </w:r>
      <w:r w:rsidR="00D91EA6">
        <w:rPr>
          <w:rFonts w:ascii="Times New Roman" w:hAnsi="Times New Roman"/>
          <w:sz w:val="24"/>
          <w:szCs w:val="24"/>
        </w:rPr>
        <w:t xml:space="preserve"> di ampliamento del conflitto per</w:t>
      </w:r>
      <w:r w:rsidR="006F3B86">
        <w:rPr>
          <w:rFonts w:ascii="Times New Roman" w:hAnsi="Times New Roman"/>
          <w:sz w:val="24"/>
          <w:szCs w:val="24"/>
        </w:rPr>
        <w:t xml:space="preserve"> intensità, numero di nemici e durata.</w:t>
      </w:r>
      <w:r w:rsidR="00445D2D">
        <w:rPr>
          <w:rFonts w:ascii="Times New Roman" w:hAnsi="Times New Roman"/>
          <w:sz w:val="24"/>
          <w:szCs w:val="24"/>
        </w:rPr>
        <w:t xml:space="preserve"> </w:t>
      </w:r>
      <w:r w:rsidR="0068692D">
        <w:rPr>
          <w:rFonts w:ascii="Times New Roman" w:hAnsi="Times New Roman"/>
          <w:sz w:val="24"/>
          <w:szCs w:val="24"/>
        </w:rPr>
        <w:t>Si lasciò persuadere a dare il</w:t>
      </w:r>
      <w:r w:rsidR="00F40319">
        <w:rPr>
          <w:rFonts w:ascii="Times New Roman" w:hAnsi="Times New Roman"/>
          <w:sz w:val="24"/>
          <w:szCs w:val="24"/>
        </w:rPr>
        <w:t xml:space="preserve"> proprio assenso anche il P</w:t>
      </w:r>
      <w:r w:rsidR="00D91EA6">
        <w:rPr>
          <w:rFonts w:ascii="Times New Roman" w:hAnsi="Times New Roman"/>
          <w:sz w:val="24"/>
          <w:szCs w:val="24"/>
        </w:rPr>
        <w:t>rimo ministro</w:t>
      </w:r>
      <w:r w:rsidR="0068692D">
        <w:rPr>
          <w:rFonts w:ascii="Times New Roman" w:hAnsi="Times New Roman"/>
          <w:sz w:val="24"/>
          <w:szCs w:val="24"/>
        </w:rPr>
        <w:t xml:space="preserve"> ungherese, il conte </w:t>
      </w:r>
      <w:r w:rsidR="0068692D" w:rsidRPr="0068692D">
        <w:rPr>
          <w:rFonts w:ascii="Times New Roman" w:hAnsi="Times New Roman"/>
          <w:sz w:val="24"/>
          <w:szCs w:val="24"/>
        </w:rPr>
        <w:t>István</w:t>
      </w:r>
      <w:r w:rsidR="0068692D">
        <w:rPr>
          <w:rFonts w:ascii="Times New Roman" w:hAnsi="Times New Roman"/>
          <w:sz w:val="24"/>
          <w:szCs w:val="24"/>
        </w:rPr>
        <w:t xml:space="preserve"> Tisza</w:t>
      </w:r>
      <w:r w:rsidR="0068692D">
        <w:rPr>
          <w:rStyle w:val="Rimandonotaapidipagina"/>
          <w:rFonts w:ascii="Times New Roman" w:hAnsi="Times New Roman"/>
          <w:sz w:val="24"/>
          <w:szCs w:val="24"/>
        </w:rPr>
        <w:footnoteReference w:id="89"/>
      </w:r>
      <w:r w:rsidR="0068692D">
        <w:rPr>
          <w:rFonts w:ascii="Times New Roman" w:hAnsi="Times New Roman"/>
          <w:sz w:val="24"/>
          <w:szCs w:val="24"/>
        </w:rPr>
        <w:t>, sulla base delle assicurazioni ricevute da</w:t>
      </w:r>
      <w:r w:rsidR="009C51E6">
        <w:rPr>
          <w:rFonts w:ascii="Times New Roman" w:hAnsi="Times New Roman"/>
          <w:sz w:val="24"/>
          <w:szCs w:val="24"/>
        </w:rPr>
        <w:t xml:space="preserve">i militari e dai membri civili del Consiglio comune dei ministri. </w:t>
      </w:r>
    </w:p>
    <w:p w14:paraId="63DFBDF0" w14:textId="4FA1BC6E" w:rsidR="00C947BB" w:rsidRPr="008A4A6C" w:rsidRDefault="003145A0" w:rsidP="008811ED">
      <w:pPr>
        <w:spacing w:line="360" w:lineRule="auto"/>
        <w:ind w:right="567"/>
        <w:jc w:val="both"/>
        <w:rPr>
          <w:rFonts w:ascii="Times New Roman" w:hAnsi="Times New Roman"/>
          <w:sz w:val="24"/>
          <w:szCs w:val="24"/>
        </w:rPr>
      </w:pPr>
      <w:r>
        <w:rPr>
          <w:rFonts w:ascii="Times New Roman" w:hAnsi="Times New Roman"/>
          <w:sz w:val="24"/>
          <w:szCs w:val="24"/>
        </w:rPr>
        <w:t>D</w:t>
      </w:r>
      <w:r w:rsidR="00D91EA6">
        <w:rPr>
          <w:rFonts w:ascii="Times New Roman" w:hAnsi="Times New Roman"/>
          <w:sz w:val="24"/>
          <w:szCs w:val="24"/>
        </w:rPr>
        <w:t xml:space="preserve">opo quattro anni e mezzo di guerra su più fronti, </w:t>
      </w:r>
      <w:r w:rsidR="00445D2D">
        <w:rPr>
          <w:rFonts w:ascii="Times New Roman" w:hAnsi="Times New Roman"/>
          <w:sz w:val="24"/>
          <w:szCs w:val="24"/>
        </w:rPr>
        <w:t>non</w:t>
      </w:r>
      <w:r w:rsidR="0006168D">
        <w:rPr>
          <w:rFonts w:ascii="Times New Roman" w:hAnsi="Times New Roman"/>
          <w:sz w:val="24"/>
          <w:szCs w:val="24"/>
        </w:rPr>
        <w:t xml:space="preserve"> fu </w:t>
      </w:r>
      <w:r w:rsidR="00445D2D">
        <w:rPr>
          <w:rFonts w:ascii="Times New Roman" w:hAnsi="Times New Roman"/>
          <w:sz w:val="24"/>
          <w:szCs w:val="24"/>
        </w:rPr>
        <w:t>la questione nazionale, a lungo immaginata come il fattore esiziale per la sopravvivenza del complesso st</w:t>
      </w:r>
      <w:r>
        <w:rPr>
          <w:rFonts w:ascii="Times New Roman" w:hAnsi="Times New Roman"/>
          <w:sz w:val="24"/>
          <w:szCs w:val="24"/>
        </w:rPr>
        <w:t>atale asburgico, ma il logoramento, la fame e la sconfitta militare a siglare</w:t>
      </w:r>
      <w:r w:rsidR="00400EEC">
        <w:rPr>
          <w:rFonts w:ascii="Times New Roman" w:hAnsi="Times New Roman"/>
          <w:sz w:val="24"/>
          <w:szCs w:val="24"/>
        </w:rPr>
        <w:t xml:space="preserve"> il desti</w:t>
      </w:r>
      <w:r w:rsidR="00CA7303">
        <w:rPr>
          <w:rFonts w:ascii="Times New Roman" w:hAnsi="Times New Roman"/>
          <w:sz w:val="24"/>
          <w:szCs w:val="24"/>
        </w:rPr>
        <w:t>no della Duplice Monarchia</w:t>
      </w:r>
      <w:r w:rsidR="00400EEC">
        <w:rPr>
          <w:rFonts w:ascii="Times New Roman" w:hAnsi="Times New Roman"/>
          <w:sz w:val="24"/>
          <w:szCs w:val="24"/>
        </w:rPr>
        <w:t xml:space="preserve">. </w:t>
      </w:r>
      <w:r w:rsidR="00445D2D">
        <w:rPr>
          <w:rFonts w:ascii="Times New Roman" w:hAnsi="Times New Roman"/>
          <w:sz w:val="24"/>
          <w:szCs w:val="24"/>
        </w:rPr>
        <w:t xml:space="preserve"> </w:t>
      </w:r>
      <w:r w:rsidR="006F3B86">
        <w:rPr>
          <w:rFonts w:ascii="Times New Roman" w:hAnsi="Times New Roman"/>
          <w:sz w:val="24"/>
          <w:szCs w:val="24"/>
        </w:rPr>
        <w:t xml:space="preserve">   </w:t>
      </w:r>
    </w:p>
    <w:sectPr w:rsidR="00C947BB" w:rsidRPr="008A4A6C">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niele D'Alterio" w:date="2018-12-11T18:35:00Z" w:initials="DD">
    <w:p w14:paraId="19868E1C" w14:textId="77777777" w:rsidR="00591B49" w:rsidRDefault="00591B49">
      <w:pPr>
        <w:pStyle w:val="Testocommento"/>
      </w:pPr>
      <w:r>
        <w:rPr>
          <w:rStyle w:val="Rimandocommento"/>
        </w:rPr>
        <w:annotationRef/>
      </w:r>
      <w:r>
        <w:t>Forse meglio “grandi potenze”</w:t>
      </w:r>
    </w:p>
  </w:comment>
  <w:comment w:id="2" w:author="Gianluca" w:date="2019-03-14T21:53:00Z" w:initials="G">
    <w:p w14:paraId="2CBD9F10" w14:textId="7218204E" w:rsidR="00591B49" w:rsidRDefault="00591B49">
      <w:pPr>
        <w:pStyle w:val="Testocommento"/>
      </w:pPr>
      <w:r>
        <w:rPr>
          <w:rStyle w:val="Rimandocommento"/>
        </w:rPr>
        <w:annotationRef/>
      </w:r>
      <w:r>
        <w:t>Modifica effettuata</w:t>
      </w:r>
    </w:p>
  </w:comment>
  <w:comment w:id="3" w:author="Corrado Scibilia" w:date="2018-12-10T19:16:00Z" w:initials="CS">
    <w:p w14:paraId="6EF8364D" w14:textId="77777777" w:rsidR="00591B49" w:rsidRDefault="00591B49">
      <w:pPr>
        <w:pStyle w:val="Testocommento"/>
      </w:pPr>
      <w:r>
        <w:rPr>
          <w:rStyle w:val="Rimandocommento"/>
        </w:rPr>
        <w:annotationRef/>
      </w:r>
      <w:r>
        <w:t>Specificare meglio. L’inverno 2018 può essere sia l’inizio che la fine dell’anno</w:t>
      </w:r>
    </w:p>
  </w:comment>
  <w:comment w:id="4" w:author="Gianluca" w:date="2019-03-14T21:53:00Z" w:initials="G">
    <w:p w14:paraId="229C40CE" w14:textId="1A83609B" w:rsidR="00591B49" w:rsidRDefault="00591B49">
      <w:pPr>
        <w:pStyle w:val="Testocommento"/>
      </w:pPr>
      <w:r>
        <w:rPr>
          <w:rStyle w:val="Rimandocommento"/>
        </w:rPr>
        <w:annotationRef/>
      </w:r>
      <w:r>
        <w:t>Suggerimento accolto</w:t>
      </w:r>
    </w:p>
  </w:comment>
  <w:comment w:id="5" w:author="Daniele D'Alterio" w:date="2018-12-11T18:51:00Z" w:initials="DD">
    <w:p w14:paraId="43481C69" w14:textId="77777777" w:rsidR="00591B49" w:rsidRDefault="00591B49">
      <w:pPr>
        <w:pStyle w:val="Testocommento"/>
      </w:pPr>
      <w:r>
        <w:rPr>
          <w:rStyle w:val="Rimandocommento"/>
        </w:rPr>
        <w:annotationRef/>
      </w:r>
      <w:r>
        <w:t>Il Congresso di Vienna inizia alla fine del 1814 ma termina nel giugno 1815, quindi è meglio cambiare, forse, il titolo del paragrafo</w:t>
      </w:r>
    </w:p>
  </w:comment>
  <w:comment w:id="6" w:author="Gianluca" w:date="2019-03-14T21:54:00Z" w:initials="G">
    <w:p w14:paraId="1FE3E1CD" w14:textId="12CA997A" w:rsidR="00591B49" w:rsidRDefault="00591B49">
      <w:pPr>
        <w:pStyle w:val="Testocommento"/>
      </w:pPr>
      <w:r>
        <w:rPr>
          <w:rStyle w:val="Rimandocommento"/>
        </w:rPr>
        <w:annotationRef/>
      </w:r>
      <w:r>
        <w:t>Correzione effettuata</w:t>
      </w:r>
    </w:p>
  </w:comment>
  <w:comment w:id="7" w:author="Daniele D'Alterio" w:date="2018-12-11T18:51:00Z" w:initials="DD">
    <w:p w14:paraId="4076CC79" w14:textId="77777777" w:rsidR="00591B49" w:rsidRDefault="00591B49">
      <w:pPr>
        <w:pStyle w:val="Testocommento"/>
      </w:pPr>
      <w:r>
        <w:rPr>
          <w:rStyle w:val="Rimandocommento"/>
        </w:rPr>
        <w:annotationRef/>
      </w:r>
      <w:r>
        <w:t>Forse opportuno aggiungere “dell’Impero asburgico” o “all’Impero asburgico”: più chiaro</w:t>
      </w:r>
    </w:p>
  </w:comment>
  <w:comment w:id="8" w:author="Daniele D'Alterio" w:date="2018-12-11T18:53:00Z" w:initials="DD">
    <w:p w14:paraId="301D6C50" w14:textId="77777777" w:rsidR="00591B49" w:rsidRDefault="00591B49">
      <w:pPr>
        <w:pStyle w:val="Testocommento"/>
      </w:pPr>
      <w:r>
        <w:rPr>
          <w:rStyle w:val="Rimandocommento"/>
        </w:rPr>
        <w:annotationRef/>
      </w:r>
      <w:r>
        <w:t>Forse meglio “nato dalla necessità”?</w:t>
      </w:r>
    </w:p>
  </w:comment>
  <w:comment w:id="9" w:author="Gianluca" w:date="2019-03-14T21:56:00Z" w:initials="G">
    <w:p w14:paraId="72EF865D" w14:textId="00FDEA0A" w:rsidR="00591B49" w:rsidRDefault="00591B49">
      <w:pPr>
        <w:pStyle w:val="Testocommento"/>
      </w:pPr>
      <w:r>
        <w:rPr>
          <w:rStyle w:val="Rimandocommento"/>
        </w:rPr>
        <w:annotationRef/>
      </w:r>
      <w:r>
        <w:t>Suggerimento accolto</w:t>
      </w:r>
    </w:p>
  </w:comment>
  <w:comment w:id="10" w:author="Daniele D'Alterio" w:date="2018-12-09T16:23:00Z" w:initials="DD">
    <w:p w14:paraId="73D10F9A" w14:textId="77777777" w:rsidR="00591B49" w:rsidRDefault="00591B49">
      <w:pPr>
        <w:pStyle w:val="Testocommento"/>
      </w:pPr>
      <w:r>
        <w:rPr>
          <w:rStyle w:val="Rimandocommento"/>
        </w:rPr>
        <w:annotationRef/>
      </w:r>
      <w:r>
        <w:t>Direi “l’appoggio ungherese”, più che “il riconoscimento”</w:t>
      </w:r>
    </w:p>
  </w:comment>
  <w:comment w:id="11" w:author="Daniele D'Alterio" w:date="2018-12-09T16:26:00Z" w:initials="DD">
    <w:p w14:paraId="36507F48" w14:textId="77777777" w:rsidR="00591B49" w:rsidRDefault="00591B49">
      <w:pPr>
        <w:pStyle w:val="Testocommento"/>
      </w:pPr>
      <w:r>
        <w:rPr>
          <w:rStyle w:val="Rimandocommento"/>
        </w:rPr>
        <w:annotationRef/>
      </w:r>
      <w:r>
        <w:t>Forse opportuno ricordare: “magiara”</w:t>
      </w:r>
    </w:p>
  </w:comment>
  <w:comment w:id="12" w:author="Gianluca" w:date="2019-03-14T21:57:00Z" w:initials="G">
    <w:p w14:paraId="28082BBF" w14:textId="74596FC4" w:rsidR="00591B49" w:rsidRDefault="00591B49">
      <w:pPr>
        <w:pStyle w:val="Testocommento"/>
      </w:pPr>
      <w:r>
        <w:rPr>
          <w:rStyle w:val="Rimandocommento"/>
        </w:rPr>
        <w:annotationRef/>
      </w:r>
      <w:r>
        <w:t>Suggerimento non accolto</w:t>
      </w:r>
    </w:p>
  </w:comment>
  <w:comment w:id="13" w:author="Daniele D'Alterio" w:date="2018-12-09T16:34:00Z" w:initials="DD">
    <w:p w14:paraId="492FBC35" w14:textId="77777777" w:rsidR="00591B49" w:rsidRDefault="00591B49">
      <w:pPr>
        <w:pStyle w:val="Testocommento"/>
      </w:pPr>
      <w:r>
        <w:rPr>
          <w:rStyle w:val="Rimandocommento"/>
        </w:rPr>
        <w:annotationRef/>
      </w:r>
      <w:r>
        <w:t>Forse meglio maiuscolo “Gran Principe”, se è il suo titolo nobiliare. Idem in nota 6.</w:t>
      </w:r>
    </w:p>
  </w:comment>
  <w:comment w:id="14" w:author="Gianluca" w:date="2019-03-14T21:57:00Z" w:initials="G">
    <w:p w14:paraId="2621AC90" w14:textId="312704EE" w:rsidR="00591B49" w:rsidRDefault="00591B49">
      <w:pPr>
        <w:pStyle w:val="Testocommento"/>
      </w:pPr>
      <w:r>
        <w:rPr>
          <w:rStyle w:val="Rimandocommento"/>
        </w:rPr>
        <w:annotationRef/>
      </w:r>
      <w:r>
        <w:t>Suggerimento accolto</w:t>
      </w:r>
    </w:p>
  </w:comment>
  <w:comment w:id="15" w:author="Daniele D'Alterio" w:date="2018-12-11T18:54:00Z" w:initials="DD">
    <w:p w14:paraId="475408EE" w14:textId="77777777" w:rsidR="00591B49" w:rsidRDefault="00591B49">
      <w:pPr>
        <w:pStyle w:val="Testocommento"/>
      </w:pPr>
      <w:r>
        <w:rPr>
          <w:rStyle w:val="Rimandocommento"/>
        </w:rPr>
        <w:annotationRef/>
      </w:r>
      <w:r>
        <w:t>Anche qui, frase farraginosa, che diventa alla fine poco chiara</w:t>
      </w:r>
    </w:p>
  </w:comment>
  <w:comment w:id="16" w:author="Gianluca" w:date="2019-03-14T21:58:00Z" w:initials="G">
    <w:p w14:paraId="40F4F1B5" w14:textId="54AD6086" w:rsidR="00591B49" w:rsidRDefault="00591B49">
      <w:pPr>
        <w:pStyle w:val="Testocommento"/>
      </w:pPr>
      <w:r>
        <w:rPr>
          <w:rStyle w:val="Rimandocommento"/>
        </w:rPr>
        <w:annotationRef/>
      </w:r>
      <w:r>
        <w:t>Periodo modificato</w:t>
      </w:r>
    </w:p>
  </w:comment>
  <w:comment w:id="17" w:author="Daniele D'Alterio" w:date="2018-12-11T19:01:00Z" w:initials="DD">
    <w:p w14:paraId="7DE77DD4" w14:textId="77777777" w:rsidR="00591B49" w:rsidRDefault="00591B49">
      <w:pPr>
        <w:pStyle w:val="Testocommento"/>
      </w:pPr>
      <w:r>
        <w:rPr>
          <w:rStyle w:val="Rimandocommento"/>
        </w:rPr>
        <w:annotationRef/>
      </w:r>
      <w:r>
        <w:t>Nota 9, parti evidenziate da rivedere nella forma</w:t>
      </w:r>
    </w:p>
  </w:comment>
  <w:comment w:id="18" w:author="Gianluca" w:date="2019-03-14T21:58:00Z" w:initials="G">
    <w:p w14:paraId="1A5CCA2D" w14:textId="3F71E6A4" w:rsidR="00591B49" w:rsidRDefault="00591B49">
      <w:pPr>
        <w:pStyle w:val="Testocommento"/>
      </w:pPr>
      <w:r>
        <w:rPr>
          <w:rStyle w:val="Rimandocommento"/>
        </w:rPr>
        <w:annotationRef/>
      </w:r>
      <w:r>
        <w:t>Nota rivista e corretta</w:t>
      </w:r>
    </w:p>
  </w:comment>
  <w:comment w:id="19" w:author="Daniele D'Alterio" w:date="2018-12-09T17:32:00Z" w:initials="DD">
    <w:p w14:paraId="2066AFDB" w14:textId="77777777" w:rsidR="00591B49" w:rsidRDefault="00591B49">
      <w:pPr>
        <w:pStyle w:val="Testocommento"/>
      </w:pPr>
      <w:r>
        <w:rPr>
          <w:rStyle w:val="Rimandocommento"/>
        </w:rPr>
        <w:annotationRef/>
      </w:r>
      <w:r>
        <w:t>Nota 13, da tradurre titolo in romeno (lo si è fatto con gli altri testi citati in romeno e ungherese).</w:t>
      </w:r>
    </w:p>
  </w:comment>
  <w:comment w:id="20" w:author="Daniele D'Alterio" w:date="2018-12-11T19:09:00Z" w:initials="DD">
    <w:p w14:paraId="6750FD17" w14:textId="77777777" w:rsidR="00591B49" w:rsidRDefault="00591B49">
      <w:pPr>
        <w:pStyle w:val="Testocommento"/>
      </w:pPr>
      <w:r>
        <w:rPr>
          <w:rStyle w:val="Rimandocommento"/>
        </w:rPr>
        <w:annotationRef/>
      </w:r>
      <w:r>
        <w:t>Forse meglio minuscolo, “grande potenza”</w:t>
      </w:r>
    </w:p>
  </w:comment>
  <w:comment w:id="21" w:author="Gianluca" w:date="2019-03-14T21:59:00Z" w:initials="G">
    <w:p w14:paraId="0E610A7B" w14:textId="7B4010B3" w:rsidR="00591B49" w:rsidRDefault="00591B49">
      <w:pPr>
        <w:pStyle w:val="Testocommento"/>
      </w:pPr>
      <w:r>
        <w:rPr>
          <w:rStyle w:val="Rimandocommento"/>
        </w:rPr>
        <w:annotationRef/>
      </w:r>
      <w:r>
        <w:t>Suggerimento accolto</w:t>
      </w:r>
    </w:p>
  </w:comment>
  <w:comment w:id="22" w:author="Daniele D'Alterio" w:date="2018-12-12T10:41:00Z" w:initials="DD">
    <w:p w14:paraId="09BE38C9" w14:textId="77777777" w:rsidR="00591B49" w:rsidRDefault="00591B49">
      <w:pPr>
        <w:pStyle w:val="Testocommento"/>
      </w:pPr>
      <w:r>
        <w:rPr>
          <w:rStyle w:val="Rimandocommento"/>
        </w:rPr>
        <w:annotationRef/>
      </w:r>
      <w:r>
        <w:t>Non è però eccessivo ridurre Metternich a qualcuno che faceva valere “la pura forza del legittimismo” grazie alle sole “baionette”?</w:t>
      </w:r>
    </w:p>
  </w:comment>
  <w:comment w:id="23" w:author="Gianluca" w:date="2019-03-15T00:33:00Z" w:initials="G">
    <w:p w14:paraId="5C8EC6CE" w14:textId="30152285" w:rsidR="00591B49" w:rsidRDefault="00591B49">
      <w:pPr>
        <w:pStyle w:val="Testocommento"/>
      </w:pPr>
      <w:r>
        <w:rPr>
          <w:rStyle w:val="Rimandocommento"/>
        </w:rPr>
        <w:annotationRef/>
      </w:r>
      <w:r>
        <w:t>Periodo modificato</w:t>
      </w:r>
    </w:p>
  </w:comment>
  <w:comment w:id="24" w:author="Daniele D'Alterio" w:date="2018-12-11T19:18:00Z" w:initials="DD">
    <w:p w14:paraId="61952ACB" w14:textId="77777777" w:rsidR="00591B49" w:rsidRDefault="00591B49">
      <w:pPr>
        <w:pStyle w:val="Testocommento"/>
      </w:pPr>
      <w:r>
        <w:rPr>
          <w:rStyle w:val="Rimandocommento"/>
        </w:rPr>
        <w:annotationRef/>
      </w:r>
      <w:r>
        <w:t>Direi “lombardo-venete”, se ci si riferisce al Lombardo-Veneto</w:t>
      </w:r>
    </w:p>
  </w:comment>
  <w:comment w:id="25" w:author="Gianluca" w:date="2019-03-10T12:26:00Z" w:initials="G">
    <w:p w14:paraId="4C806FA3" w14:textId="61EFE5E7" w:rsidR="00591B49" w:rsidRPr="003157E8" w:rsidRDefault="00591B49">
      <w:pPr>
        <w:pStyle w:val="Testocommento"/>
      </w:pPr>
      <w:r>
        <w:rPr>
          <w:rStyle w:val="Rimandocommento"/>
        </w:rPr>
        <w:annotationRef/>
      </w:r>
      <w:r>
        <w:t>Si rimane a lombarde, perché sull’ostilità di quelle venete, incluse nel 1815, non sussiste dubbio.</w:t>
      </w:r>
    </w:p>
  </w:comment>
  <w:comment w:id="26" w:author="Daniele D'Alterio" w:date="2018-12-11T19:22:00Z" w:initials="DD">
    <w:p w14:paraId="02949C35" w14:textId="77777777" w:rsidR="00591B49" w:rsidRDefault="00591B49">
      <w:pPr>
        <w:pStyle w:val="Testocommento"/>
      </w:pPr>
      <w:r>
        <w:rPr>
          <w:rStyle w:val="Rimandocommento"/>
        </w:rPr>
        <w:annotationRef/>
      </w:r>
      <w:r>
        <w:t>Nota 19, testo evidenziato: non è chiaro chi sia l’autore o gli autori, o il curatore/curatori, né è segnalato editore, luogo di pubbl. ecc. Completare indicazioni bibl.</w:t>
      </w:r>
    </w:p>
  </w:comment>
  <w:comment w:id="27" w:author="Gianluca" w:date="2019-03-15T01:19:00Z" w:initials="G">
    <w:p w14:paraId="1707D077" w14:textId="19F43D05" w:rsidR="00591B49" w:rsidRDefault="00591B49">
      <w:pPr>
        <w:pStyle w:val="Testocommento"/>
      </w:pPr>
      <w:r>
        <w:rPr>
          <w:rStyle w:val="Rimandocommento"/>
        </w:rPr>
        <w:annotationRef/>
      </w:r>
      <w:r>
        <w:t>Correzioni effettuate</w:t>
      </w:r>
    </w:p>
  </w:comment>
  <w:comment w:id="28" w:author="Daniele D'Alterio" w:date="2018-12-09T19:24:00Z" w:initials="DD">
    <w:p w14:paraId="59CEA662" w14:textId="77777777" w:rsidR="00591B49" w:rsidRDefault="00591B49">
      <w:pPr>
        <w:pStyle w:val="Testocommento"/>
      </w:pPr>
      <w:r>
        <w:rPr>
          <w:rStyle w:val="Rimandocommento"/>
        </w:rPr>
        <w:annotationRef/>
      </w:r>
      <w:r>
        <w:t>Perché scritto così, al contrario (cfr. anche oltre nel testo)?</w:t>
      </w:r>
    </w:p>
  </w:comment>
  <w:comment w:id="29" w:author="Gianluca" w:date="2019-03-15T01:23:00Z" w:initials="G">
    <w:p w14:paraId="61F2099A" w14:textId="792CCCEB" w:rsidR="00591B49" w:rsidRDefault="00591B49">
      <w:pPr>
        <w:pStyle w:val="Testocommento"/>
      </w:pPr>
      <w:r>
        <w:rPr>
          <w:rStyle w:val="Rimandocommento"/>
        </w:rPr>
        <w:annotationRef/>
      </w:r>
      <w:r>
        <w:t>Aggiunta nota esplicativa</w:t>
      </w:r>
    </w:p>
  </w:comment>
  <w:comment w:id="32" w:author="Daniele D'Alterio" w:date="2018-12-11T19:26:00Z" w:initials="DD">
    <w:p w14:paraId="7AC6BEC0" w14:textId="77777777" w:rsidR="00591B49" w:rsidRDefault="00591B49">
      <w:pPr>
        <w:pStyle w:val="Testocommento"/>
      </w:pPr>
      <w:r>
        <w:rPr>
          <w:rStyle w:val="Rimandocommento"/>
        </w:rPr>
        <w:annotationRef/>
      </w:r>
      <w:r>
        <w:t>Su un tema così vasto, però, citare un solo storico (per quanto illustre possa essere), non è troppo poco?</w:t>
      </w:r>
    </w:p>
  </w:comment>
  <w:comment w:id="33" w:author="Gianluca" w:date="2019-03-15T01:45:00Z" w:initials="G">
    <w:p w14:paraId="3F4B8174" w14:textId="4A697F44" w:rsidR="00591B49" w:rsidRDefault="00591B49">
      <w:pPr>
        <w:pStyle w:val="Testocommento"/>
      </w:pPr>
      <w:r>
        <w:rPr>
          <w:rStyle w:val="Rimandocommento"/>
        </w:rPr>
        <w:annotationRef/>
      </w:r>
      <w:r>
        <w:t>Suggerimento accolto</w:t>
      </w:r>
    </w:p>
  </w:comment>
  <w:comment w:id="30" w:author="Daniele D'Alterio" w:date="2018-12-12T10:45:00Z" w:initials="DD">
    <w:p w14:paraId="3590C91B" w14:textId="77777777" w:rsidR="00591B49" w:rsidRDefault="00591B49">
      <w:pPr>
        <w:pStyle w:val="Testocommento"/>
      </w:pPr>
      <w:r>
        <w:rPr>
          <w:rStyle w:val="Rimandocommento"/>
        </w:rPr>
        <w:annotationRef/>
      </w:r>
      <w:r>
        <w:t>Forse eccessivamente ‘sbilanciato’ in senso filoasburgico questo passaggio, rischia di sembrare agiografico</w:t>
      </w:r>
    </w:p>
  </w:comment>
  <w:comment w:id="31" w:author="Gianluca" w:date="2019-03-15T01:45:00Z" w:initials="G">
    <w:p w14:paraId="4C44357C" w14:textId="21535B68" w:rsidR="00591B49" w:rsidRDefault="00591B49">
      <w:pPr>
        <w:pStyle w:val="Testocommento"/>
      </w:pPr>
      <w:r>
        <w:rPr>
          <w:rStyle w:val="Rimandocommento"/>
        </w:rPr>
        <w:annotationRef/>
      </w:r>
      <w:r>
        <w:t>Suggerimento accolto</w:t>
      </w:r>
    </w:p>
  </w:comment>
  <w:comment w:id="34" w:author="Daniele D'Alterio" w:date="2018-12-09T19:22:00Z" w:initials="DD">
    <w:p w14:paraId="0E7FE64E" w14:textId="77777777" w:rsidR="00591B49" w:rsidRDefault="00591B49">
      <w:pPr>
        <w:pStyle w:val="Testocommento"/>
      </w:pPr>
      <w:r>
        <w:rPr>
          <w:rStyle w:val="Rimandocommento"/>
        </w:rPr>
        <w:annotationRef/>
      </w:r>
      <w:r>
        <w:t>Idem commento precedente.</w:t>
      </w:r>
    </w:p>
  </w:comment>
  <w:comment w:id="35" w:author="Daniele D'Alterio" w:date="2018-12-11T19:30:00Z" w:initials="DD">
    <w:p w14:paraId="5BB2FB7A" w14:textId="77777777" w:rsidR="00591B49" w:rsidRDefault="00591B49">
      <w:pPr>
        <w:pStyle w:val="Testocommento"/>
      </w:pPr>
      <w:r>
        <w:rPr>
          <w:rStyle w:val="Rimandocommento"/>
        </w:rPr>
        <w:annotationRef/>
      </w:r>
      <w:r>
        <w:t>Ma se erano per l’affermazione  d’una ‘patria’ magiara etnicamente e linguisticamente omogenea, come si può dire che tutto ciò non era minimamente in contrasto con l’idea stessa di Impero asburgico? Anche quello che si scrive dopo, va in questa direzione a mio avviso.</w:t>
      </w:r>
    </w:p>
  </w:comment>
  <w:comment w:id="36" w:author="Daniele D'Alterio" w:date="2018-12-09T21:09:00Z" w:initials="DD">
    <w:p w14:paraId="75C8AFED" w14:textId="77777777" w:rsidR="00591B49" w:rsidRDefault="00591B49">
      <w:pPr>
        <w:pStyle w:val="Testocommento"/>
      </w:pPr>
      <w:r>
        <w:rPr>
          <w:rStyle w:val="Rimandocommento"/>
        </w:rPr>
        <w:annotationRef/>
      </w:r>
      <w:r>
        <w:t>Ripetizioni: “nazionale”</w:t>
      </w:r>
    </w:p>
  </w:comment>
  <w:comment w:id="37" w:author="Gianluca" w:date="2019-03-15T01:52:00Z" w:initials="G">
    <w:p w14:paraId="58ABC254" w14:textId="28865968" w:rsidR="00591B49" w:rsidRDefault="00591B49">
      <w:pPr>
        <w:pStyle w:val="Testocommento"/>
      </w:pPr>
      <w:r>
        <w:rPr>
          <w:rStyle w:val="Rimandocommento"/>
        </w:rPr>
        <w:annotationRef/>
      </w:r>
      <w:r>
        <w:t>Suggerimento accolto</w:t>
      </w:r>
    </w:p>
  </w:comment>
  <w:comment w:id="38" w:author="Daniele D'Alterio" w:date="2018-12-10T16:50:00Z" w:initials="DD">
    <w:p w14:paraId="602983ED" w14:textId="77777777" w:rsidR="00591B49" w:rsidRDefault="00591B49">
      <w:pPr>
        <w:pStyle w:val="Testocommento"/>
      </w:pPr>
      <w:r>
        <w:rPr>
          <w:rStyle w:val="Rimandocommento"/>
        </w:rPr>
        <w:annotationRef/>
      </w:r>
      <w:r>
        <w:t>Nota 22, manca la traduzione in italiano del titolo del testo romeno.</w:t>
      </w:r>
    </w:p>
  </w:comment>
  <w:comment w:id="39" w:author="Gianluca" w:date="2019-03-15T01:52:00Z" w:initials="G">
    <w:p w14:paraId="74D19F55" w14:textId="565E638A" w:rsidR="00591B49" w:rsidRDefault="00591B49">
      <w:pPr>
        <w:pStyle w:val="Testocommento"/>
      </w:pPr>
      <w:r>
        <w:rPr>
          <w:rStyle w:val="Rimandocommento"/>
        </w:rPr>
        <w:annotationRef/>
      </w:r>
      <w:r>
        <w:t>Correzione effettuata</w:t>
      </w:r>
    </w:p>
  </w:comment>
  <w:comment w:id="40" w:author="Daniele D'Alterio" w:date="2018-12-09T21:22:00Z" w:initials="DD">
    <w:p w14:paraId="33B7153B" w14:textId="77777777" w:rsidR="00591B49" w:rsidRDefault="00591B49">
      <w:pPr>
        <w:pStyle w:val="Testocommento"/>
      </w:pPr>
      <w:r>
        <w:rPr>
          <w:rStyle w:val="Rimandocommento"/>
        </w:rPr>
        <w:annotationRef/>
      </w:r>
      <w:r>
        <w:t>Non è meglio “combattere contro”?</w:t>
      </w:r>
    </w:p>
  </w:comment>
  <w:comment w:id="41" w:author="Gianluca" w:date="2019-03-15T01:53:00Z" w:initials="G">
    <w:p w14:paraId="7E1D7CDF" w14:textId="6990AC8C" w:rsidR="00591B49" w:rsidRDefault="00591B49">
      <w:pPr>
        <w:pStyle w:val="Testocommento"/>
      </w:pPr>
      <w:r>
        <w:rPr>
          <w:rStyle w:val="Rimandocommento"/>
        </w:rPr>
        <w:annotationRef/>
      </w:r>
      <w:r>
        <w:t>Suggerimento accolto</w:t>
      </w:r>
    </w:p>
  </w:comment>
  <w:comment w:id="42" w:author="Daniele D'Alterio" w:date="2018-12-11T19:31:00Z" w:initials="DD">
    <w:p w14:paraId="11B6551F" w14:textId="77777777" w:rsidR="00591B49" w:rsidRDefault="00591B49">
      <w:pPr>
        <w:pStyle w:val="Testocommento"/>
      </w:pPr>
      <w:r>
        <w:rPr>
          <w:rStyle w:val="Rimandocommento"/>
        </w:rPr>
        <w:annotationRef/>
      </w:r>
      <w:r>
        <w:t>Possibile, però,  che fu solo una sorta di malinteso?</w:t>
      </w:r>
    </w:p>
  </w:comment>
  <w:comment w:id="43" w:author="Gianluca" w:date="2019-03-15T01:53:00Z" w:initials="G">
    <w:p w14:paraId="6E3868F9" w14:textId="718AF03B" w:rsidR="00591B49" w:rsidRDefault="00591B49">
      <w:pPr>
        <w:pStyle w:val="Testocommento"/>
      </w:pPr>
      <w:r>
        <w:rPr>
          <w:rStyle w:val="Rimandocommento"/>
        </w:rPr>
        <w:annotationRef/>
      </w:r>
      <w:r>
        <w:t>Aggravato dall’ambiguità delle leggi di aprile 1848 in materia di difesa comune.</w:t>
      </w:r>
    </w:p>
  </w:comment>
  <w:comment w:id="44" w:author="Daniele D'Alterio" w:date="2018-12-11T19:34:00Z" w:initials="DD">
    <w:p w14:paraId="1AEC5431" w14:textId="77777777" w:rsidR="00591B49" w:rsidRDefault="00591B49">
      <w:pPr>
        <w:pStyle w:val="Testocommento"/>
      </w:pPr>
      <w:r>
        <w:rPr>
          <w:rStyle w:val="Rimandocommento"/>
        </w:rPr>
        <w:annotationRef/>
      </w:r>
      <w:r>
        <w:t>A cui (e alla Francia, anche) Kossuth e la nuova Ungheria indipendente avevano chiesto proprio nel 1849 di ‘intervenire’ a loro favore in caso di repressione della Santa Alleanza, sebbene invano, però. Forse andrebbe accennata più diffusamente questa fase della rivoluzione ungherese.</w:t>
      </w:r>
    </w:p>
  </w:comment>
  <w:comment w:id="45" w:author="Gianluca" w:date="2019-03-15T01:56:00Z" w:initials="G">
    <w:p w14:paraId="1B3F1CA0" w14:textId="3468109E" w:rsidR="00591B49" w:rsidRDefault="00591B49">
      <w:pPr>
        <w:pStyle w:val="Testocommento"/>
      </w:pPr>
      <w:r>
        <w:rPr>
          <w:rStyle w:val="Rimandocommento"/>
        </w:rPr>
        <w:annotationRef/>
      </w:r>
      <w:r>
        <w:t>.Aggiunto breve commento con nota</w:t>
      </w:r>
    </w:p>
  </w:comment>
  <w:comment w:id="46" w:author="Daniele D'Alterio" w:date="2018-12-09T21:47:00Z" w:initials="DD">
    <w:p w14:paraId="77668BAD" w14:textId="77777777" w:rsidR="00591B49" w:rsidRDefault="00591B49">
      <w:pPr>
        <w:pStyle w:val="Testocommento"/>
      </w:pPr>
      <w:r>
        <w:rPr>
          <w:rStyle w:val="Rimandocommento"/>
        </w:rPr>
        <w:annotationRef/>
      </w:r>
      <w:r>
        <w:t>Forse meglio “L’ascesa al trono”</w:t>
      </w:r>
    </w:p>
  </w:comment>
  <w:comment w:id="47" w:author="Daniele D'Alterio" w:date="2018-12-11T19:38:00Z" w:initials="DD">
    <w:p w14:paraId="34096EAC" w14:textId="77777777" w:rsidR="00591B49" w:rsidRDefault="00591B49">
      <w:pPr>
        <w:pStyle w:val="Testocommento"/>
      </w:pPr>
      <w:r>
        <w:rPr>
          <w:rStyle w:val="Rimandocommento"/>
        </w:rPr>
        <w:annotationRef/>
      </w:r>
      <w:r>
        <w:t>Nota 26, forse opportuno eliminare “scientifica”.</w:t>
      </w:r>
    </w:p>
  </w:comment>
  <w:comment w:id="48" w:author="Daniele D'Alterio" w:date="2018-12-09T21:53:00Z" w:initials="DD">
    <w:p w14:paraId="68E79C04" w14:textId="77777777" w:rsidR="00591B49" w:rsidRDefault="00591B49">
      <w:pPr>
        <w:pStyle w:val="Testocommento"/>
      </w:pPr>
      <w:r>
        <w:rPr>
          <w:rStyle w:val="Rimandocommento"/>
        </w:rPr>
        <w:annotationRef/>
      </w:r>
      <w:r>
        <w:t>Forse meglio “mettere l’Impero nelle mani”</w:t>
      </w:r>
    </w:p>
  </w:comment>
  <w:comment w:id="49" w:author="Daniele D'Alterio" w:date="2018-12-11T19:37:00Z" w:initials="DD">
    <w:p w14:paraId="31794ABC" w14:textId="77777777" w:rsidR="00591B49" w:rsidRDefault="00591B49">
      <w:pPr>
        <w:pStyle w:val="Testocommento"/>
      </w:pPr>
      <w:r>
        <w:rPr>
          <w:rStyle w:val="Rimandocommento"/>
        </w:rPr>
        <w:annotationRef/>
      </w:r>
      <w:r>
        <w:t>Non sembra, però, poi così “illuminato”</w:t>
      </w:r>
    </w:p>
  </w:comment>
  <w:comment w:id="50" w:author="Daniele D'Alterio" w:date="2018-12-09T22:06:00Z" w:initials="DD">
    <w:p w14:paraId="1534D2A2" w14:textId="77777777" w:rsidR="00591B49" w:rsidRDefault="00591B49">
      <w:pPr>
        <w:pStyle w:val="Testocommento"/>
      </w:pPr>
      <w:r>
        <w:rPr>
          <w:rStyle w:val="Rimandocommento"/>
        </w:rPr>
        <w:annotationRef/>
      </w:r>
      <w:r>
        <w:t>Nota 28, indicazioni bibl. incomplete.</w:t>
      </w:r>
    </w:p>
  </w:comment>
  <w:comment w:id="51" w:author="Daniele D'Alterio" w:date="2018-12-11T19:40:00Z" w:initials="DD">
    <w:p w14:paraId="26815D81" w14:textId="77777777" w:rsidR="00591B49" w:rsidRDefault="00591B49">
      <w:pPr>
        <w:pStyle w:val="Testocommento"/>
      </w:pPr>
      <w:r>
        <w:rPr>
          <w:rStyle w:val="Rimandocommento"/>
        </w:rPr>
        <w:annotationRef/>
      </w:r>
      <w:r>
        <w:t>Poco chiaro. E, caso mai, “la posizione dominante [dell’Impero asburgico] nella Confederazione germanica”.</w:t>
      </w:r>
    </w:p>
  </w:comment>
  <w:comment w:id="52" w:author="Gianluca" w:date="2019-03-15T19:25:00Z" w:initials="G">
    <w:p w14:paraId="239AC152" w14:textId="43A8858B" w:rsidR="00591B49" w:rsidRDefault="00591B49">
      <w:pPr>
        <w:pStyle w:val="Testocommento"/>
      </w:pPr>
      <w:r>
        <w:rPr>
          <w:rStyle w:val="Rimandocommento"/>
        </w:rPr>
        <w:annotationRef/>
      </w:r>
      <w:r>
        <w:t>Suggerimento accolto</w:t>
      </w:r>
    </w:p>
  </w:comment>
  <w:comment w:id="53" w:author="Daniele D'Alterio" w:date="2018-12-09T22:15:00Z" w:initials="DD">
    <w:p w14:paraId="4BECF0BC" w14:textId="77777777" w:rsidR="00591B49" w:rsidRDefault="00591B49">
      <w:pPr>
        <w:pStyle w:val="Testocommento"/>
      </w:pPr>
      <w:r>
        <w:rPr>
          <w:rStyle w:val="Rimandocommento"/>
        </w:rPr>
        <w:annotationRef/>
      </w:r>
      <w:r>
        <w:t>Direi “un ripristino della”</w:t>
      </w:r>
    </w:p>
  </w:comment>
  <w:comment w:id="54" w:author="Gianluca" w:date="2019-03-15T19:26:00Z" w:initials="G">
    <w:p w14:paraId="3317EBB5" w14:textId="7FFFF241" w:rsidR="00591B49" w:rsidRDefault="00591B49">
      <w:pPr>
        <w:pStyle w:val="Testocommento"/>
      </w:pPr>
      <w:r>
        <w:rPr>
          <w:rStyle w:val="Rimandocommento"/>
        </w:rPr>
        <w:annotationRef/>
      </w:r>
      <w:r>
        <w:t>Suggerimento accolto</w:t>
      </w:r>
    </w:p>
  </w:comment>
  <w:comment w:id="55" w:author="Daniele D'Alterio" w:date="2018-12-09T22:18:00Z" w:initials="DD">
    <w:p w14:paraId="5BDC3217" w14:textId="77777777" w:rsidR="00591B49" w:rsidRDefault="00591B49">
      <w:pPr>
        <w:pStyle w:val="Testocommento"/>
      </w:pPr>
      <w:r>
        <w:rPr>
          <w:rStyle w:val="Rimandocommento"/>
        </w:rPr>
        <w:annotationRef/>
      </w:r>
      <w:r>
        <w:t>Forse meglio “a-nazionale”, col trattino?</w:t>
      </w:r>
    </w:p>
  </w:comment>
  <w:comment w:id="56" w:author="Gianluca" w:date="2019-03-15T19:26:00Z" w:initials="G">
    <w:p w14:paraId="18FD9C6E" w14:textId="0A059D77" w:rsidR="00591B49" w:rsidRDefault="00591B49">
      <w:pPr>
        <w:pStyle w:val="Testocommento"/>
      </w:pPr>
      <w:r>
        <w:rPr>
          <w:rStyle w:val="Rimandocommento"/>
        </w:rPr>
        <w:annotationRef/>
      </w:r>
      <w:r>
        <w:t>Suggerimento accolto</w:t>
      </w:r>
    </w:p>
  </w:comment>
  <w:comment w:id="57" w:author="Daniele D'Alterio" w:date="2018-12-11T20:16:00Z" w:initials="DD">
    <w:p w14:paraId="59F58F42" w14:textId="77777777" w:rsidR="00591B49" w:rsidRDefault="00591B49">
      <w:pPr>
        <w:pStyle w:val="Testocommento"/>
      </w:pPr>
      <w:r>
        <w:rPr>
          <w:rStyle w:val="Rimandocommento"/>
        </w:rPr>
        <w:annotationRef/>
      </w:r>
      <w:r>
        <w:t xml:space="preserve">Così, però, sembra quasi che la ‘colpa’ del mancato esito ‘liberale’ del processo riformatore dell’Impero asburgico fu in ultima analisi dei movimenti indipendentisti e patriottici italiano e ungherese. Non si accenna mai, invece, alla capacità degli Asburgo di contrapporre una rivendicazione nazionale all’altra nell’ambito dell’Impero (quindi italiani versus croati, ungheresi versus romeni, ecc.), dunque di attuare una ben congegnata strategia del </w:t>
      </w:r>
      <w:r w:rsidRPr="00F05F29">
        <w:rPr>
          <w:i/>
        </w:rPr>
        <w:t>divide et impera</w:t>
      </w:r>
      <w:r>
        <w:t>, che era metternichiana peraltro, e come tale gli Asburgo la utilizzarono anche dopo il 1848-1849, sebbene in altra forma, riuscendo così a tenere ‘unito’ l’Impero, privilegiando viepiù, fra l’altro, l’etnia tedesca.</w:t>
      </w:r>
    </w:p>
  </w:comment>
  <w:comment w:id="58" w:author="Gianluca" w:date="2019-03-15T19:28:00Z" w:initials="G">
    <w:p w14:paraId="249B6716" w14:textId="67A5304B" w:rsidR="00591B49" w:rsidRPr="00064E1D" w:rsidRDefault="00591B49">
      <w:pPr>
        <w:pStyle w:val="Testocommento"/>
      </w:pPr>
      <w:r>
        <w:rPr>
          <w:rStyle w:val="Rimandocommento"/>
        </w:rPr>
        <w:annotationRef/>
      </w:r>
      <w:r>
        <w:t xml:space="preserve">Questa </w:t>
      </w:r>
      <w:r w:rsidRPr="00064E1D">
        <w:t>vision</w:t>
      </w:r>
      <w:r>
        <w:t>e</w:t>
      </w:r>
      <w:r w:rsidRPr="00064E1D">
        <w:t xml:space="preserve"> mi pare eccessivamente </w:t>
      </w:r>
      <w:r>
        <w:t xml:space="preserve">italocentrica e </w:t>
      </w:r>
      <w:r w:rsidRPr="00064E1D">
        <w:t xml:space="preserve">risorgimentale. </w:t>
      </w:r>
      <w:r>
        <w:t>I grandi imperi utilizzano gli strumenti a loro disposizione per rimanere uniti e durare, come del resto fa qualsiasi Stato nazionale multietnico (Vedi Polonia e Romania negli anni tra le due guerre mondiali) Che un impero fondato da una dinastia tedesca privilegi l’etnia tedesca sarebbe anche logico, se non che i tedeschi si sentirono traditi da un impero che doveva fare i conti con 11 etnie non tedesche</w:t>
      </w:r>
    </w:p>
  </w:comment>
  <w:comment w:id="61" w:author="Corrado Scibilia" w:date="2018-12-11T20:13:00Z" w:initials="CS">
    <w:p w14:paraId="3C85B756" w14:textId="77777777" w:rsidR="00591B49" w:rsidRDefault="00591B49">
      <w:pPr>
        <w:pStyle w:val="Testocommento"/>
      </w:pPr>
      <w:r>
        <w:rPr>
          <w:rStyle w:val="Rimandocommento"/>
        </w:rPr>
        <w:annotationRef/>
      </w:r>
      <w:r>
        <w:t>Aggiungerei, dopo “convinzione”, “dell’opportunità”</w:t>
      </w:r>
    </w:p>
  </w:comment>
  <w:comment w:id="62" w:author="Gianluca" w:date="2019-03-15T19:36:00Z" w:initials="G">
    <w:p w14:paraId="3E7A7F39" w14:textId="25CEE152" w:rsidR="00591B49" w:rsidRDefault="00591B49">
      <w:pPr>
        <w:pStyle w:val="Testocommento"/>
      </w:pPr>
      <w:r>
        <w:rPr>
          <w:rStyle w:val="Rimandocommento"/>
        </w:rPr>
        <w:annotationRef/>
      </w:r>
      <w:r>
        <w:t>Suggerimento non accolto</w:t>
      </w:r>
    </w:p>
  </w:comment>
  <w:comment w:id="59" w:author="Daniele D'Alterio" w:date="2018-12-11T20:17:00Z" w:initials="DD">
    <w:p w14:paraId="70D72858" w14:textId="77777777" w:rsidR="00591B49" w:rsidRDefault="00591B49">
      <w:pPr>
        <w:pStyle w:val="Testocommento"/>
      </w:pPr>
      <w:r>
        <w:rPr>
          <w:rStyle w:val="Rimandocommento"/>
        </w:rPr>
        <w:annotationRef/>
      </w:r>
      <w:r>
        <w:t>Forma da rivedere.</w:t>
      </w:r>
    </w:p>
  </w:comment>
  <w:comment w:id="60" w:author="Gianluca" w:date="2019-03-15T19:35:00Z" w:initials="G">
    <w:p w14:paraId="379F8CD9" w14:textId="07580054" w:rsidR="00591B49" w:rsidRDefault="00591B49">
      <w:pPr>
        <w:pStyle w:val="Testocommento"/>
      </w:pPr>
      <w:r>
        <w:rPr>
          <w:rStyle w:val="Rimandocommento"/>
        </w:rPr>
        <w:annotationRef/>
      </w:r>
      <w:r>
        <w:t>Forma rivista</w:t>
      </w:r>
    </w:p>
  </w:comment>
  <w:comment w:id="63" w:author="Daniele D'Alterio" w:date="2018-12-09T22:52:00Z" w:initials="DD">
    <w:p w14:paraId="0933AA76" w14:textId="77777777" w:rsidR="00591B49" w:rsidRDefault="00591B49">
      <w:pPr>
        <w:pStyle w:val="Testocommento"/>
      </w:pPr>
      <w:r>
        <w:rPr>
          <w:rStyle w:val="Rimandocommento"/>
        </w:rPr>
        <w:annotationRef/>
      </w:r>
      <w:r>
        <w:t>E per quale ragione? Dopo, peraltro, si accenna solo ai cechi, e non a croati e serbi</w:t>
      </w:r>
    </w:p>
  </w:comment>
  <w:comment w:id="64" w:author="Gianluca" w:date="2019-03-15T11:02:00Z" w:initials="G">
    <w:p w14:paraId="744391A5" w14:textId="6B78BFE5" w:rsidR="00591B49" w:rsidRDefault="00591B49">
      <w:pPr>
        <w:pStyle w:val="Testocommento"/>
      </w:pPr>
      <w:r>
        <w:rPr>
          <w:rStyle w:val="Rimandocommento"/>
        </w:rPr>
        <w:annotationRef/>
      </w:r>
      <w:r>
        <w:t>Periodo modificato</w:t>
      </w:r>
    </w:p>
  </w:comment>
  <w:comment w:id="66" w:author="Gianluca" w:date="2019-05-30T22:02:00Z" w:initials="G">
    <w:p w14:paraId="653C2A27" w14:textId="5029FD60" w:rsidR="000F0243" w:rsidRDefault="000F0243">
      <w:pPr>
        <w:pStyle w:val="Testocommento"/>
      </w:pPr>
      <w:r>
        <w:rPr>
          <w:rStyle w:val="Rimandocommento"/>
        </w:rPr>
        <w:annotationRef/>
      </w:r>
    </w:p>
  </w:comment>
  <w:comment w:id="67" w:author="Daniele D'Alterio" w:date="2018-12-12T10:51:00Z" w:initials="DD">
    <w:p w14:paraId="1E1F3953" w14:textId="77777777" w:rsidR="00591B49" w:rsidRDefault="00591B49">
      <w:pPr>
        <w:pStyle w:val="Testocommento"/>
      </w:pPr>
      <w:r>
        <w:rPr>
          <w:rStyle w:val="Rimandocommento"/>
        </w:rPr>
        <w:annotationRef/>
      </w:r>
      <w:r>
        <w:t xml:space="preserve">Nota 33, perché “fonte letteraria”? </w:t>
      </w:r>
    </w:p>
    <w:p w14:paraId="2EE6F16E" w14:textId="77777777" w:rsidR="00591B49" w:rsidRDefault="00591B49">
      <w:pPr>
        <w:pStyle w:val="Testocommento"/>
      </w:pPr>
      <w:r>
        <w:t>E, inoltre, credo che sia corretto “due volumi divisi in quattro tomi”.</w:t>
      </w:r>
    </w:p>
    <w:p w14:paraId="6CC8DF5A" w14:textId="77777777" w:rsidR="00591B49" w:rsidRDefault="00591B49">
      <w:pPr>
        <w:pStyle w:val="Testocommento"/>
      </w:pPr>
      <w:r>
        <w:t>E ancora, direi “si occupano del”, non “al”.</w:t>
      </w:r>
    </w:p>
    <w:p w14:paraId="712D6A17" w14:textId="77777777" w:rsidR="00591B49" w:rsidRDefault="00591B49">
      <w:pPr>
        <w:pStyle w:val="Testocommento"/>
      </w:pPr>
      <w:r>
        <w:t>Inoltre, non è meglio “fase dualistica”?</w:t>
      </w:r>
    </w:p>
  </w:comment>
  <w:comment w:id="68" w:author="Gianluca" w:date="2019-03-15T19:37:00Z" w:initials="G">
    <w:p w14:paraId="06D1F19E" w14:textId="0409F757" w:rsidR="00591B49" w:rsidRDefault="00591B49">
      <w:pPr>
        <w:pStyle w:val="Testocommento"/>
      </w:pPr>
      <w:r>
        <w:rPr>
          <w:rStyle w:val="Rimandocommento"/>
        </w:rPr>
        <w:annotationRef/>
      </w:r>
      <w:r>
        <w:t>Suggerimenti accolti</w:t>
      </w:r>
    </w:p>
  </w:comment>
  <w:comment w:id="69" w:author="Daniele D'Alterio" w:date="2018-12-10T15:48:00Z" w:initials="DD">
    <w:p w14:paraId="764BF1DB" w14:textId="77777777" w:rsidR="00591B49" w:rsidRDefault="00591B49">
      <w:pPr>
        <w:pStyle w:val="Testocommento"/>
      </w:pPr>
      <w:r>
        <w:rPr>
          <w:rStyle w:val="Rimandocommento"/>
        </w:rPr>
        <w:annotationRef/>
      </w:r>
      <w:r>
        <w:t>Direi “dopo la definitiva perdita dei territori germanici”, o “dopo la definitiva perdita d’una posizione dominante in Germania a favore della Prussia”</w:t>
      </w:r>
    </w:p>
  </w:comment>
  <w:comment w:id="70" w:author="Gianluca" w:date="2019-03-15T19:37:00Z" w:initials="G">
    <w:p w14:paraId="0D626AD3" w14:textId="4CC81FB7" w:rsidR="00591B49" w:rsidRDefault="00591B49">
      <w:pPr>
        <w:pStyle w:val="Testocommento"/>
      </w:pPr>
      <w:r>
        <w:rPr>
          <w:rStyle w:val="Rimandocommento"/>
        </w:rPr>
        <w:annotationRef/>
      </w:r>
      <w:r>
        <w:t>Suggerimento accolto</w:t>
      </w:r>
    </w:p>
  </w:comment>
  <w:comment w:id="71" w:author="Daniele D'Alterio" w:date="2018-12-11T20:19:00Z" w:initials="DD">
    <w:p w14:paraId="5A8A685A" w14:textId="77777777" w:rsidR="00591B49" w:rsidRDefault="00591B49">
      <w:pPr>
        <w:pStyle w:val="Testocommento"/>
      </w:pPr>
      <w:r>
        <w:rPr>
          <w:rStyle w:val="Rimandocommento"/>
        </w:rPr>
        <w:annotationRef/>
      </w:r>
      <w:r>
        <w:t>Forma da rivedere</w:t>
      </w:r>
    </w:p>
  </w:comment>
  <w:comment w:id="72" w:author="Daniele D'Alterio" w:date="2018-12-10T10:54:00Z" w:initials="DD">
    <w:p w14:paraId="0AD22009" w14:textId="77777777" w:rsidR="00591B49" w:rsidRDefault="00591B49">
      <w:pPr>
        <w:pStyle w:val="Testocommento"/>
      </w:pPr>
      <w:r>
        <w:rPr>
          <w:rStyle w:val="Rimandocommento"/>
        </w:rPr>
        <w:annotationRef/>
      </w:r>
      <w:r>
        <w:t>Nota 34, direi “per la ricchezza documentaria”, senza “corredo”</w:t>
      </w:r>
    </w:p>
  </w:comment>
  <w:comment w:id="73" w:author="Gianluca" w:date="2019-03-15T11:03:00Z" w:initials="G">
    <w:p w14:paraId="6E561256" w14:textId="62FF03A6" w:rsidR="00591B49" w:rsidRDefault="00591B49">
      <w:pPr>
        <w:pStyle w:val="Testocommento"/>
      </w:pPr>
      <w:r>
        <w:rPr>
          <w:rStyle w:val="Rimandocommento"/>
        </w:rPr>
        <w:annotationRef/>
      </w:r>
      <w:r>
        <w:t>Suggerimento accolto</w:t>
      </w:r>
    </w:p>
  </w:comment>
  <w:comment w:id="74" w:author="Daniele D'Alterio" w:date="2018-12-12T10:52:00Z" w:initials="DD">
    <w:p w14:paraId="0810F142" w14:textId="77777777" w:rsidR="00591B49" w:rsidRDefault="00591B49">
      <w:pPr>
        <w:pStyle w:val="Testocommento"/>
      </w:pPr>
      <w:r>
        <w:rPr>
          <w:rStyle w:val="Rimandocommento"/>
        </w:rPr>
        <w:annotationRef/>
      </w:r>
      <w:r>
        <w:t>Anche il “pangermanesimo” fu minoritario, in Austria?</w:t>
      </w:r>
    </w:p>
  </w:comment>
  <w:comment w:id="75" w:author="Gianluca" w:date="2019-03-15T11:03:00Z" w:initials="G">
    <w:p w14:paraId="4D573037" w14:textId="7DB97736" w:rsidR="00591B49" w:rsidRDefault="00591B49">
      <w:pPr>
        <w:pStyle w:val="Testocommento"/>
      </w:pPr>
      <w:r>
        <w:rPr>
          <w:rStyle w:val="Rimandocommento"/>
        </w:rPr>
        <w:annotationRef/>
      </w:r>
      <w:r>
        <w:t>Certamente minoritario</w:t>
      </w:r>
    </w:p>
  </w:comment>
  <w:comment w:id="76" w:author="Daniele D'Alterio" w:date="2018-12-10T10:59:00Z" w:initials="DD">
    <w:p w14:paraId="626A0FF7" w14:textId="77777777" w:rsidR="00591B49" w:rsidRDefault="00591B49">
      <w:pPr>
        <w:pStyle w:val="Testocommento"/>
      </w:pPr>
      <w:r>
        <w:rPr>
          <w:rStyle w:val="Rimandocommento"/>
        </w:rPr>
        <w:annotationRef/>
      </w:r>
      <w:r>
        <w:t>Forse opportuna altra forma</w:t>
      </w:r>
    </w:p>
  </w:comment>
  <w:comment w:id="77" w:author="Gianluca" w:date="2019-03-15T11:05:00Z" w:initials="G">
    <w:p w14:paraId="6AD8773B" w14:textId="292B72DD" w:rsidR="00591B49" w:rsidRDefault="00591B49">
      <w:pPr>
        <w:pStyle w:val="Testocommento"/>
      </w:pPr>
      <w:r>
        <w:rPr>
          <w:rStyle w:val="Rimandocommento"/>
        </w:rPr>
        <w:annotationRef/>
      </w:r>
      <w:r>
        <w:t>Suggerimento accolto</w:t>
      </w:r>
    </w:p>
  </w:comment>
  <w:comment w:id="78" w:author="Daniele D'Alterio" w:date="2018-12-10T11:18:00Z" w:initials="DD">
    <w:p w14:paraId="7E635852" w14:textId="77777777" w:rsidR="00591B49" w:rsidRDefault="00591B49">
      <w:pPr>
        <w:pStyle w:val="Testocommento"/>
      </w:pPr>
      <w:r>
        <w:rPr>
          <w:rStyle w:val="Rimandocommento"/>
        </w:rPr>
        <w:annotationRef/>
      </w:r>
      <w:r>
        <w:t>Direi “appreso nel” non “dal”</w:t>
      </w:r>
    </w:p>
  </w:comment>
  <w:comment w:id="79" w:author="Gianluca" w:date="2019-03-15T11:05:00Z" w:initials="G">
    <w:p w14:paraId="04220D0F" w14:textId="3B8F23E7" w:rsidR="00591B49" w:rsidRDefault="00591B49">
      <w:pPr>
        <w:pStyle w:val="Testocommento"/>
      </w:pPr>
      <w:r>
        <w:rPr>
          <w:rStyle w:val="Rimandocommento"/>
        </w:rPr>
        <w:annotationRef/>
      </w:r>
      <w:r>
        <w:t>Suggerimento accolto</w:t>
      </w:r>
    </w:p>
  </w:comment>
  <w:comment w:id="80" w:author="Daniele D'Alterio" w:date="2018-12-10T11:28:00Z" w:initials="DD">
    <w:p w14:paraId="6D6A7EE3" w14:textId="77777777" w:rsidR="00591B49" w:rsidRDefault="00591B49">
      <w:pPr>
        <w:pStyle w:val="Testocommento"/>
      </w:pPr>
      <w:r>
        <w:rPr>
          <w:rStyle w:val="Rimandocommento"/>
        </w:rPr>
        <w:annotationRef/>
      </w:r>
      <w:r>
        <w:t>Frase da riformulare. Si intende, credo, “era evidente che l’unica soluzione possibile [o plausibile] era quella proposta [o pensata] dal grande protagonista della rivoluzione del 1848”.</w:t>
      </w:r>
    </w:p>
  </w:comment>
  <w:comment w:id="81" w:author="Gianluca" w:date="2019-03-15T11:05:00Z" w:initials="G">
    <w:p w14:paraId="58208DC1" w14:textId="1D87F72C" w:rsidR="00591B49" w:rsidRDefault="00591B49">
      <w:pPr>
        <w:pStyle w:val="Testocommento"/>
      </w:pPr>
      <w:r>
        <w:rPr>
          <w:rStyle w:val="Rimandocommento"/>
        </w:rPr>
        <w:annotationRef/>
      </w:r>
      <w:r>
        <w:t>Suggerimento accolto</w:t>
      </w:r>
    </w:p>
  </w:comment>
  <w:comment w:id="82" w:author="Daniele D'Alterio" w:date="2018-12-10T11:31:00Z" w:initials="DD">
    <w:p w14:paraId="7CB593A0" w14:textId="77777777" w:rsidR="00591B49" w:rsidRDefault="00591B49">
      <w:pPr>
        <w:pStyle w:val="Testocommento"/>
      </w:pPr>
      <w:r>
        <w:rPr>
          <w:rStyle w:val="Rimandocommento"/>
        </w:rPr>
        <w:annotationRef/>
      </w:r>
      <w:r>
        <w:t>Direi “con le altre [o diverse] componenti nazionali”</w:t>
      </w:r>
    </w:p>
  </w:comment>
  <w:comment w:id="83" w:author="Gianluca" w:date="2019-03-15T11:06:00Z" w:initials="G">
    <w:p w14:paraId="6CC018EF" w14:textId="549D42D8" w:rsidR="00591B49" w:rsidRDefault="00591B49">
      <w:pPr>
        <w:pStyle w:val="Testocommento"/>
      </w:pPr>
      <w:r>
        <w:rPr>
          <w:rStyle w:val="Rimandocommento"/>
        </w:rPr>
        <w:annotationRef/>
      </w:r>
      <w:r>
        <w:t>Suggerimento accolto</w:t>
      </w:r>
    </w:p>
  </w:comment>
  <w:comment w:id="84" w:author="Daniele D'Alterio" w:date="2018-12-10T16:04:00Z" w:initials="DD">
    <w:p w14:paraId="17D5DB32" w14:textId="77777777" w:rsidR="00591B49" w:rsidRDefault="00591B49">
      <w:pPr>
        <w:pStyle w:val="Testocommento"/>
      </w:pPr>
      <w:r>
        <w:rPr>
          <w:rStyle w:val="Rimandocommento"/>
        </w:rPr>
        <w:annotationRef/>
      </w:r>
      <w:r>
        <w:t>Nota 36: mi risulta che quest’opera sia in due volumi. Controllare.</w:t>
      </w:r>
    </w:p>
  </w:comment>
  <w:comment w:id="85" w:author="Gianluca" w:date="2019-03-15T11:07:00Z" w:initials="G">
    <w:p w14:paraId="399A3AAC" w14:textId="121E1C91" w:rsidR="00591B49" w:rsidRDefault="00591B49">
      <w:pPr>
        <w:pStyle w:val="Testocommento"/>
      </w:pPr>
      <w:r>
        <w:rPr>
          <w:rStyle w:val="Rimandocommento"/>
        </w:rPr>
        <w:annotationRef/>
      </w:r>
      <w:r>
        <w:t>Controllo eseguito</w:t>
      </w:r>
    </w:p>
  </w:comment>
  <w:comment w:id="86" w:author="Corrado Scibilia" w:date="2018-12-11T16:52:00Z" w:initials="CS">
    <w:p w14:paraId="0246D40D" w14:textId="77777777" w:rsidR="00591B49" w:rsidRDefault="00591B49">
      <w:pPr>
        <w:pStyle w:val="Testocommento"/>
      </w:pPr>
      <w:r>
        <w:rPr>
          <w:rStyle w:val="Rimandocommento"/>
        </w:rPr>
        <w:annotationRef/>
      </w:r>
      <w:r>
        <w:t>Frase non chiara</w:t>
      </w:r>
    </w:p>
  </w:comment>
  <w:comment w:id="87" w:author="Gianluca" w:date="2019-03-15T11:08:00Z" w:initials="G">
    <w:p w14:paraId="283AA624" w14:textId="61C18F00" w:rsidR="00591B49" w:rsidRDefault="00591B49">
      <w:pPr>
        <w:pStyle w:val="Testocommento"/>
      </w:pPr>
      <w:r>
        <w:rPr>
          <w:rStyle w:val="Rimandocommento"/>
        </w:rPr>
        <w:annotationRef/>
      </w:r>
      <w:r>
        <w:t>Suggerimento accolto</w:t>
      </w:r>
    </w:p>
  </w:comment>
  <w:comment w:id="88" w:author="Corrado Scibilia" w:date="2018-12-11T16:54:00Z" w:initials="CS">
    <w:p w14:paraId="5B340352" w14:textId="77777777" w:rsidR="00591B49" w:rsidRDefault="00591B49">
      <w:pPr>
        <w:pStyle w:val="Testocommento"/>
      </w:pPr>
      <w:r>
        <w:rPr>
          <w:rStyle w:val="Rimandocommento"/>
        </w:rPr>
        <w:annotationRef/>
      </w:r>
      <w:r>
        <w:t>Forse meglio “le altre nazionalità”</w:t>
      </w:r>
    </w:p>
  </w:comment>
  <w:comment w:id="89" w:author="Gianluca" w:date="2019-03-15T11:14:00Z" w:initials="G">
    <w:p w14:paraId="24136B4C" w14:textId="04C0586F" w:rsidR="00591B49" w:rsidRDefault="00591B49">
      <w:pPr>
        <w:pStyle w:val="Testocommento"/>
      </w:pPr>
      <w:r>
        <w:rPr>
          <w:rStyle w:val="Rimandocommento"/>
        </w:rPr>
        <w:annotationRef/>
      </w:r>
      <w:r>
        <w:t>Consiglio accolto</w:t>
      </w:r>
    </w:p>
  </w:comment>
  <w:comment w:id="90" w:author="Daniele D'Alterio" w:date="2018-12-10T12:06:00Z" w:initials="DD">
    <w:p w14:paraId="7248CD53" w14:textId="77777777" w:rsidR="00591B49" w:rsidRDefault="00591B49">
      <w:pPr>
        <w:pStyle w:val="Testocommento"/>
      </w:pPr>
      <w:r>
        <w:rPr>
          <w:rStyle w:val="Rimandocommento"/>
        </w:rPr>
        <w:annotationRef/>
      </w:r>
      <w:r>
        <w:t>Anche qui, perché al contrario?</w:t>
      </w:r>
    </w:p>
  </w:comment>
  <w:comment w:id="91" w:author="Gianluca" w:date="2019-03-15T19:39:00Z" w:initials="G">
    <w:p w14:paraId="3475881F" w14:textId="605C1F6A" w:rsidR="00591B49" w:rsidRDefault="00591B49">
      <w:pPr>
        <w:pStyle w:val="Testocommento"/>
      </w:pPr>
      <w:r>
        <w:rPr>
          <w:rStyle w:val="Rimandocommento"/>
        </w:rPr>
        <w:annotationRef/>
      </w:r>
      <w:r>
        <w:t>Problema risolto in precedenza</w:t>
      </w:r>
    </w:p>
  </w:comment>
  <w:comment w:id="92" w:author="Daniele D'Alterio" w:date="2018-12-10T12:13:00Z" w:initials="DD">
    <w:p w14:paraId="6DF9D413" w14:textId="77777777" w:rsidR="00591B49" w:rsidRDefault="00591B49">
      <w:pPr>
        <w:pStyle w:val="Testocommento"/>
      </w:pPr>
      <w:r>
        <w:rPr>
          <w:rStyle w:val="Rimandocommento"/>
        </w:rPr>
        <w:annotationRef/>
      </w:r>
      <w:r>
        <w:t>Si chiamava proprio così? Quale era il suo ‘titolo’?</w:t>
      </w:r>
    </w:p>
  </w:comment>
  <w:comment w:id="93" w:author="Gianluca" w:date="2019-03-15T11:36:00Z" w:initials="G">
    <w:p w14:paraId="4B469820" w14:textId="3131DE51" w:rsidR="00591B49" w:rsidRDefault="00591B49">
      <w:pPr>
        <w:pStyle w:val="Testocommento"/>
      </w:pPr>
      <w:r>
        <w:rPr>
          <w:rStyle w:val="Rimandocommento"/>
        </w:rPr>
        <w:annotationRef/>
      </w:r>
      <w:r>
        <w:t>Accolta proposta di integrazione e inserita apposita nota</w:t>
      </w:r>
    </w:p>
  </w:comment>
  <w:comment w:id="94" w:author="Daniele D'Alterio" w:date="2018-12-10T12:28:00Z" w:initials="DD">
    <w:p w14:paraId="19FF328E" w14:textId="77777777" w:rsidR="00591B49" w:rsidRDefault="00591B49">
      <w:pPr>
        <w:pStyle w:val="Testocommento"/>
      </w:pPr>
      <w:r>
        <w:rPr>
          <w:rStyle w:val="Rimandocommento"/>
        </w:rPr>
        <w:annotationRef/>
      </w:r>
      <w:r>
        <w:t>Anche qui, forma da rivedere</w:t>
      </w:r>
    </w:p>
  </w:comment>
  <w:comment w:id="95" w:author="Gianluca" w:date="2019-03-15T14:04:00Z" w:initials="G">
    <w:p w14:paraId="652CC939" w14:textId="208B55E1" w:rsidR="00591B49" w:rsidRDefault="00591B49">
      <w:pPr>
        <w:pStyle w:val="Testocommento"/>
      </w:pPr>
      <w:r>
        <w:rPr>
          <w:rStyle w:val="Rimandocommento"/>
        </w:rPr>
        <w:annotationRef/>
      </w:r>
      <w:r>
        <w:t>Forma rivista</w:t>
      </w:r>
    </w:p>
  </w:comment>
  <w:comment w:id="96" w:author="Daniele D'Alterio" w:date="2018-12-10T12:53:00Z" w:initials="DD">
    <w:p w14:paraId="6E433C49" w14:textId="77777777" w:rsidR="00591B49" w:rsidRDefault="00591B49">
      <w:pPr>
        <w:pStyle w:val="Testocommento"/>
      </w:pPr>
      <w:r>
        <w:rPr>
          <w:rStyle w:val="Rimandocommento"/>
        </w:rPr>
        <w:annotationRef/>
      </w:r>
      <w:r>
        <w:t>Nota 45, indicazione poco chiara, inoltre manca traduzione titolo in ungherese ed editore.</w:t>
      </w:r>
    </w:p>
  </w:comment>
  <w:comment w:id="97" w:author="Gianluca" w:date="2019-03-15T13:05:00Z" w:initials="G">
    <w:p w14:paraId="5C7721D8" w14:textId="48E40B9D" w:rsidR="00591B49" w:rsidRDefault="00591B49">
      <w:pPr>
        <w:pStyle w:val="Testocommento"/>
      </w:pPr>
      <w:r>
        <w:rPr>
          <w:rStyle w:val="Rimandocommento"/>
        </w:rPr>
        <w:annotationRef/>
      </w:r>
      <w:r>
        <w:t>Correzione effettuata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868E1C" w15:done="0"/>
  <w15:commentEx w15:paraId="2CBD9F10" w15:paraIdParent="19868E1C" w15:done="0"/>
  <w15:commentEx w15:paraId="6EF8364D" w15:done="0"/>
  <w15:commentEx w15:paraId="229C40CE" w15:paraIdParent="6EF8364D" w15:done="0"/>
  <w15:commentEx w15:paraId="43481C69" w15:done="0"/>
  <w15:commentEx w15:paraId="1FE3E1CD" w15:paraIdParent="43481C69" w15:done="0"/>
  <w15:commentEx w15:paraId="4076CC79" w15:done="0"/>
  <w15:commentEx w15:paraId="301D6C50" w15:done="0"/>
  <w15:commentEx w15:paraId="72EF865D" w15:paraIdParent="301D6C50" w15:done="0"/>
  <w15:commentEx w15:paraId="73D10F9A" w15:done="0"/>
  <w15:commentEx w15:paraId="36507F48" w15:done="0"/>
  <w15:commentEx w15:paraId="28082BBF" w15:paraIdParent="36507F48" w15:done="0"/>
  <w15:commentEx w15:paraId="492FBC35" w15:done="0"/>
  <w15:commentEx w15:paraId="2621AC90" w15:paraIdParent="492FBC35" w15:done="0"/>
  <w15:commentEx w15:paraId="475408EE" w15:done="0"/>
  <w15:commentEx w15:paraId="40F4F1B5" w15:paraIdParent="475408EE" w15:done="0"/>
  <w15:commentEx w15:paraId="7DE77DD4" w15:done="0"/>
  <w15:commentEx w15:paraId="1A5CCA2D" w15:paraIdParent="7DE77DD4" w15:done="0"/>
  <w15:commentEx w15:paraId="2066AFDB" w15:done="0"/>
  <w15:commentEx w15:paraId="6750FD17" w15:done="0"/>
  <w15:commentEx w15:paraId="0E610A7B" w15:paraIdParent="6750FD17" w15:done="0"/>
  <w15:commentEx w15:paraId="09BE38C9" w15:done="0"/>
  <w15:commentEx w15:paraId="5C8EC6CE" w15:paraIdParent="09BE38C9" w15:done="0"/>
  <w15:commentEx w15:paraId="61952ACB" w15:done="0"/>
  <w15:commentEx w15:paraId="4C806FA3" w15:paraIdParent="61952ACB" w15:done="0"/>
  <w15:commentEx w15:paraId="02949C35" w15:done="0"/>
  <w15:commentEx w15:paraId="1707D077" w15:paraIdParent="02949C35" w15:done="0"/>
  <w15:commentEx w15:paraId="59CEA662" w15:done="0"/>
  <w15:commentEx w15:paraId="61F2099A" w15:paraIdParent="59CEA662" w15:done="0"/>
  <w15:commentEx w15:paraId="7AC6BEC0" w15:done="0"/>
  <w15:commentEx w15:paraId="3F4B8174" w15:paraIdParent="7AC6BEC0" w15:done="0"/>
  <w15:commentEx w15:paraId="3590C91B" w15:done="0"/>
  <w15:commentEx w15:paraId="4C44357C" w15:paraIdParent="3590C91B" w15:done="0"/>
  <w15:commentEx w15:paraId="0E7FE64E" w15:done="0"/>
  <w15:commentEx w15:paraId="5BB2FB7A" w15:done="0"/>
  <w15:commentEx w15:paraId="75C8AFED" w15:done="0"/>
  <w15:commentEx w15:paraId="58ABC254" w15:paraIdParent="75C8AFED" w15:done="0"/>
  <w15:commentEx w15:paraId="602983ED" w15:done="0"/>
  <w15:commentEx w15:paraId="74D19F55" w15:paraIdParent="602983ED" w15:done="0"/>
  <w15:commentEx w15:paraId="33B7153B" w15:done="0"/>
  <w15:commentEx w15:paraId="7E1D7CDF" w15:paraIdParent="33B7153B" w15:done="0"/>
  <w15:commentEx w15:paraId="11B6551F" w15:done="0"/>
  <w15:commentEx w15:paraId="6E3868F9" w15:paraIdParent="11B6551F" w15:done="0"/>
  <w15:commentEx w15:paraId="1AEC5431" w15:done="0"/>
  <w15:commentEx w15:paraId="1B3F1CA0" w15:paraIdParent="1AEC5431" w15:done="0"/>
  <w15:commentEx w15:paraId="77668BAD" w15:done="0"/>
  <w15:commentEx w15:paraId="34096EAC" w15:done="0"/>
  <w15:commentEx w15:paraId="68E79C04" w15:done="0"/>
  <w15:commentEx w15:paraId="31794ABC" w15:done="0"/>
  <w15:commentEx w15:paraId="1534D2A2" w15:done="0"/>
  <w15:commentEx w15:paraId="26815D81" w15:done="0"/>
  <w15:commentEx w15:paraId="239AC152" w15:paraIdParent="26815D81" w15:done="0"/>
  <w15:commentEx w15:paraId="4BECF0BC" w15:done="0"/>
  <w15:commentEx w15:paraId="3317EBB5" w15:paraIdParent="4BECF0BC" w15:done="0"/>
  <w15:commentEx w15:paraId="5BDC3217" w15:done="0"/>
  <w15:commentEx w15:paraId="18FD9C6E" w15:paraIdParent="5BDC3217" w15:done="0"/>
  <w15:commentEx w15:paraId="59F58F42" w15:done="0"/>
  <w15:commentEx w15:paraId="249B6716" w15:paraIdParent="59F58F42" w15:done="0"/>
  <w15:commentEx w15:paraId="3C85B756" w15:done="0"/>
  <w15:commentEx w15:paraId="3E7A7F39" w15:paraIdParent="3C85B756" w15:done="0"/>
  <w15:commentEx w15:paraId="70D72858" w15:done="0"/>
  <w15:commentEx w15:paraId="379F8CD9" w15:paraIdParent="70D72858" w15:done="0"/>
  <w15:commentEx w15:paraId="0933AA76" w15:done="0"/>
  <w15:commentEx w15:paraId="744391A5" w15:paraIdParent="0933AA76" w15:done="0"/>
  <w15:commentEx w15:paraId="653C2A27" w15:done="0"/>
  <w15:commentEx w15:paraId="712D6A17" w15:done="0"/>
  <w15:commentEx w15:paraId="06D1F19E" w15:paraIdParent="712D6A17" w15:done="0"/>
  <w15:commentEx w15:paraId="764BF1DB" w15:done="0"/>
  <w15:commentEx w15:paraId="0D626AD3" w15:paraIdParent="764BF1DB" w15:done="0"/>
  <w15:commentEx w15:paraId="5A8A685A" w15:done="0"/>
  <w15:commentEx w15:paraId="0AD22009" w15:done="0"/>
  <w15:commentEx w15:paraId="6E561256" w15:paraIdParent="0AD22009" w15:done="0"/>
  <w15:commentEx w15:paraId="0810F142" w15:done="0"/>
  <w15:commentEx w15:paraId="4D573037" w15:paraIdParent="0810F142" w15:done="0"/>
  <w15:commentEx w15:paraId="626A0FF7" w15:done="0"/>
  <w15:commentEx w15:paraId="6AD8773B" w15:paraIdParent="626A0FF7" w15:done="0"/>
  <w15:commentEx w15:paraId="7E635852" w15:done="0"/>
  <w15:commentEx w15:paraId="04220D0F" w15:paraIdParent="7E635852" w15:done="0"/>
  <w15:commentEx w15:paraId="6D6A7EE3" w15:done="0"/>
  <w15:commentEx w15:paraId="58208DC1" w15:paraIdParent="6D6A7EE3" w15:done="0"/>
  <w15:commentEx w15:paraId="7CB593A0" w15:done="0"/>
  <w15:commentEx w15:paraId="6CC018EF" w15:paraIdParent="7CB593A0" w15:done="0"/>
  <w15:commentEx w15:paraId="17D5DB32" w15:done="0"/>
  <w15:commentEx w15:paraId="399A3AAC" w15:paraIdParent="17D5DB32" w15:done="0"/>
  <w15:commentEx w15:paraId="0246D40D" w15:done="0"/>
  <w15:commentEx w15:paraId="283AA624" w15:paraIdParent="0246D40D" w15:done="0"/>
  <w15:commentEx w15:paraId="5B340352" w15:done="0"/>
  <w15:commentEx w15:paraId="24136B4C" w15:paraIdParent="5B340352" w15:done="0"/>
  <w15:commentEx w15:paraId="7248CD53" w15:done="0"/>
  <w15:commentEx w15:paraId="3475881F" w15:paraIdParent="7248CD53" w15:done="0"/>
  <w15:commentEx w15:paraId="6DF9D413" w15:done="0"/>
  <w15:commentEx w15:paraId="4B469820" w15:paraIdParent="6DF9D413" w15:done="0"/>
  <w15:commentEx w15:paraId="19FF328E" w15:done="0"/>
  <w15:commentEx w15:paraId="652CC939" w15:paraIdParent="19FF328E" w15:done="0"/>
  <w15:commentEx w15:paraId="6E433C49" w15:done="0"/>
  <w15:commentEx w15:paraId="5C7721D8" w15:paraIdParent="6E433C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B59AF" w14:textId="77777777" w:rsidR="003B2D91" w:rsidRDefault="003B2D91" w:rsidP="00C947BB">
      <w:pPr>
        <w:spacing w:after="0" w:line="240" w:lineRule="auto"/>
      </w:pPr>
      <w:r>
        <w:separator/>
      </w:r>
    </w:p>
  </w:endnote>
  <w:endnote w:type="continuationSeparator" w:id="0">
    <w:p w14:paraId="7FF854DC" w14:textId="77777777" w:rsidR="003B2D91" w:rsidRDefault="003B2D91" w:rsidP="00C9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E8147" w14:textId="77777777" w:rsidR="003B2D91" w:rsidRDefault="003B2D91" w:rsidP="00C947BB">
      <w:pPr>
        <w:spacing w:after="0" w:line="240" w:lineRule="auto"/>
      </w:pPr>
      <w:r>
        <w:separator/>
      </w:r>
    </w:p>
  </w:footnote>
  <w:footnote w:type="continuationSeparator" w:id="0">
    <w:p w14:paraId="670A44D5" w14:textId="77777777" w:rsidR="003B2D91" w:rsidRDefault="003B2D91" w:rsidP="00C947BB">
      <w:pPr>
        <w:spacing w:after="0" w:line="240" w:lineRule="auto"/>
      </w:pPr>
      <w:r>
        <w:continuationSeparator/>
      </w:r>
    </w:p>
  </w:footnote>
  <w:footnote w:id="1">
    <w:p w14:paraId="682BB0DC" w14:textId="4AE330A1" w:rsidR="00591B49" w:rsidRPr="000E412B" w:rsidRDefault="00591B49" w:rsidP="00BA0E15">
      <w:pPr>
        <w:pStyle w:val="Testonotaapidipagina"/>
        <w:ind w:left="57" w:right="567"/>
        <w:jc w:val="both"/>
        <w:rPr>
          <w:rFonts w:ascii="Times New Roman" w:hAnsi="Times New Roman"/>
        </w:rPr>
      </w:pPr>
      <w:r w:rsidRPr="00BA0E15">
        <w:rPr>
          <w:rStyle w:val="Rimandonotaapidipagina"/>
          <w:rFonts w:ascii="Times New Roman" w:hAnsi="Times New Roman"/>
        </w:rPr>
        <w:footnoteRef/>
      </w:r>
      <w:r>
        <w:rPr>
          <w:rFonts w:ascii="Times New Roman" w:hAnsi="Times New Roman"/>
        </w:rPr>
        <w:t xml:space="preserve"> La Prussia </w:t>
      </w:r>
      <w:r w:rsidRPr="00786D10">
        <w:rPr>
          <w:rFonts w:ascii="Times New Roman" w:hAnsi="Times New Roman"/>
        </w:rPr>
        <w:t xml:space="preserve">fu sin dalla fondazione uno Stato dal </w:t>
      </w:r>
      <w:r>
        <w:rPr>
          <w:rFonts w:ascii="Times New Roman" w:hAnsi="Times New Roman"/>
        </w:rPr>
        <w:t>carattere multietnico, accresciuto</w:t>
      </w:r>
      <w:r w:rsidRPr="00786D10">
        <w:rPr>
          <w:rFonts w:ascii="Times New Roman" w:hAnsi="Times New Roman"/>
        </w:rPr>
        <w:t xml:space="preserve"> dalla migrazi</w:t>
      </w:r>
      <w:r>
        <w:rPr>
          <w:rFonts w:ascii="Times New Roman" w:hAnsi="Times New Roman"/>
        </w:rPr>
        <w:t>one degli Ugonotti francesi dopo la revoca dell’Editto di</w:t>
      </w:r>
      <w:r w:rsidR="00365EA1">
        <w:rPr>
          <w:rFonts w:ascii="Times New Roman" w:hAnsi="Times New Roman"/>
        </w:rPr>
        <w:t xml:space="preserve"> Nantes nel 1685 e dalle </w:t>
      </w:r>
      <w:r w:rsidRPr="00786D10">
        <w:rPr>
          <w:rFonts w:ascii="Times New Roman" w:hAnsi="Times New Roman"/>
        </w:rPr>
        <w:t>spartizioni polacche della fine del XVIII secolo. La politica di</w:t>
      </w:r>
      <w:r>
        <w:rPr>
          <w:rFonts w:ascii="Times New Roman" w:hAnsi="Times New Roman"/>
        </w:rPr>
        <w:t xml:space="preserve"> germanizzazione, </w:t>
      </w:r>
      <w:r w:rsidRPr="00786D10">
        <w:rPr>
          <w:rFonts w:ascii="Times New Roman" w:hAnsi="Times New Roman"/>
        </w:rPr>
        <w:t>successiva alla fondazione del II Reich</w:t>
      </w:r>
      <w:r>
        <w:rPr>
          <w:rFonts w:ascii="Times New Roman" w:hAnsi="Times New Roman"/>
        </w:rPr>
        <w:t xml:space="preserve"> tedesco</w:t>
      </w:r>
      <w:r w:rsidRPr="00786D10">
        <w:rPr>
          <w:rFonts w:ascii="Times New Roman" w:hAnsi="Times New Roman"/>
        </w:rPr>
        <w:t xml:space="preserve">, mirò a ridurre il peso delle </w:t>
      </w:r>
      <w:r>
        <w:rPr>
          <w:rFonts w:ascii="Times New Roman" w:hAnsi="Times New Roman"/>
        </w:rPr>
        <w:t>maggiori componenti alloglotte</w:t>
      </w:r>
      <w:r w:rsidRPr="00786D10">
        <w:rPr>
          <w:rFonts w:ascii="Times New Roman" w:hAnsi="Times New Roman"/>
        </w:rPr>
        <w:t xml:space="preserve">, che nel 1910 comprendevano comunque 1.800.000 polacchi e 200.000 danesi. </w:t>
      </w:r>
      <w:r w:rsidRPr="000E412B">
        <w:rPr>
          <w:rFonts w:ascii="Times New Roman" w:hAnsi="Times New Roman"/>
        </w:rPr>
        <w:t xml:space="preserve">Jürgen Mirow, </w:t>
      </w:r>
      <w:r w:rsidRPr="000E412B">
        <w:rPr>
          <w:rFonts w:ascii="Times New Roman" w:hAnsi="Times New Roman"/>
          <w:i/>
        </w:rPr>
        <w:t>Geschichte des Deutschen Volkes</w:t>
      </w:r>
      <w:r w:rsidRPr="000E412B">
        <w:rPr>
          <w:rFonts w:ascii="Times New Roman" w:hAnsi="Times New Roman"/>
        </w:rPr>
        <w:t xml:space="preserve"> </w:t>
      </w:r>
      <w:r w:rsidRPr="000E412B">
        <w:rPr>
          <w:rFonts w:ascii="Arial Narrow" w:hAnsi="Arial Narrow"/>
        </w:rPr>
        <w:t>[</w:t>
      </w:r>
      <w:r w:rsidRPr="000E412B">
        <w:rPr>
          <w:rFonts w:ascii="Times New Roman" w:hAnsi="Times New Roman"/>
        </w:rPr>
        <w:t>Storia del popolo tedesco</w:t>
      </w:r>
      <w:r w:rsidRPr="000E412B">
        <w:rPr>
          <w:rFonts w:ascii="Arial Narrow" w:hAnsi="Arial Narrow"/>
        </w:rPr>
        <w:t>]</w:t>
      </w:r>
      <w:r w:rsidRPr="000E412B">
        <w:rPr>
          <w:rFonts w:ascii="Times New Roman" w:hAnsi="Times New Roman"/>
        </w:rPr>
        <w:t>, Parkland Verlag, Köln 1996,</w:t>
      </w:r>
      <w:r>
        <w:rPr>
          <w:rFonts w:ascii="Times New Roman" w:hAnsi="Times New Roman"/>
        </w:rPr>
        <w:t xml:space="preserve"> </w:t>
      </w:r>
      <w:r w:rsidRPr="000E412B">
        <w:rPr>
          <w:rFonts w:ascii="Times New Roman" w:hAnsi="Times New Roman"/>
        </w:rPr>
        <w:t xml:space="preserve">pp. 614-615.  </w:t>
      </w:r>
    </w:p>
  </w:footnote>
  <w:footnote w:id="2">
    <w:p w14:paraId="27C97132" w14:textId="11A705C0" w:rsidR="00591B49" w:rsidRPr="00C947BB" w:rsidRDefault="00591B49" w:rsidP="006D6265">
      <w:pPr>
        <w:pStyle w:val="Testonotaapidipagina"/>
        <w:ind w:right="567"/>
        <w:jc w:val="both"/>
        <w:rPr>
          <w:rFonts w:ascii="Times New Roman" w:hAnsi="Times New Roman"/>
        </w:rPr>
      </w:pPr>
      <w:r w:rsidRPr="00C947BB">
        <w:rPr>
          <w:rStyle w:val="Rimandonotaapidipagina"/>
          <w:rFonts w:ascii="Times New Roman" w:hAnsi="Times New Roman"/>
        </w:rPr>
        <w:footnoteRef/>
      </w:r>
      <w:r w:rsidR="00BE44A9">
        <w:rPr>
          <w:rFonts w:ascii="Times New Roman" w:hAnsi="Times New Roman"/>
        </w:rPr>
        <w:t xml:space="preserve"> Vedi in proposito</w:t>
      </w:r>
      <w:r>
        <w:rPr>
          <w:rFonts w:ascii="Times New Roman" w:hAnsi="Times New Roman"/>
        </w:rPr>
        <w:t xml:space="preserve"> Gianluca Volpi</w:t>
      </w:r>
      <w:r w:rsidRPr="00C947BB">
        <w:rPr>
          <w:rFonts w:ascii="Times New Roman" w:hAnsi="Times New Roman"/>
        </w:rPr>
        <w:t xml:space="preserve">, </w:t>
      </w:r>
      <w:r w:rsidRPr="00C947BB">
        <w:rPr>
          <w:rFonts w:ascii="Times New Roman" w:hAnsi="Times New Roman"/>
          <w:i/>
        </w:rPr>
        <w:t>Il fascino discreto della Duplice Monarchia. Rassegna bibliografica sull’Impero degli Asburgo a un secolo dalla sua dissoluzione</w:t>
      </w:r>
      <w:r>
        <w:rPr>
          <w:rFonts w:ascii="Times New Roman" w:hAnsi="Times New Roman"/>
        </w:rPr>
        <w:t>, “Qualestoria”, n. 1/</w:t>
      </w:r>
      <w:r w:rsidRPr="00C947BB">
        <w:rPr>
          <w:rFonts w:ascii="Times New Roman" w:hAnsi="Times New Roman"/>
        </w:rPr>
        <w:t xml:space="preserve"> 2018, pp. 166-185.</w:t>
      </w:r>
    </w:p>
  </w:footnote>
  <w:footnote w:id="3">
    <w:p w14:paraId="76086034" w14:textId="77777777" w:rsidR="00591B49" w:rsidRPr="001811B7" w:rsidRDefault="00591B49" w:rsidP="006D6265">
      <w:pPr>
        <w:pStyle w:val="Titolo1"/>
        <w:shd w:val="clear" w:color="auto" w:fill="FFFFFF"/>
        <w:spacing w:before="0" w:after="0" w:line="240" w:lineRule="auto"/>
        <w:ind w:right="566"/>
        <w:jc w:val="both"/>
        <w:rPr>
          <w:rFonts w:ascii="Times New Roman" w:eastAsia="Arial Unicode MS" w:hAnsi="Times New Roman"/>
          <w:b w:val="0"/>
          <w:color w:val="000000"/>
          <w:kern w:val="36"/>
          <w:sz w:val="20"/>
          <w:szCs w:val="20"/>
          <w:lang w:eastAsia="it-IT"/>
        </w:rPr>
      </w:pPr>
      <w:r w:rsidRPr="001811B7">
        <w:rPr>
          <w:rStyle w:val="Rimandonotaapidipagina"/>
          <w:rFonts w:ascii="Times New Roman" w:hAnsi="Times New Roman"/>
          <w:b w:val="0"/>
          <w:sz w:val="20"/>
          <w:szCs w:val="20"/>
        </w:rPr>
        <w:footnoteRef/>
      </w:r>
      <w:r>
        <w:rPr>
          <w:rFonts w:ascii="Times New Roman" w:hAnsi="Times New Roman"/>
          <w:b w:val="0"/>
          <w:sz w:val="20"/>
          <w:szCs w:val="20"/>
        </w:rPr>
        <w:t xml:space="preserve"> </w:t>
      </w:r>
      <w:r w:rsidRPr="001811B7">
        <w:rPr>
          <w:rFonts w:ascii="Times New Roman" w:hAnsi="Times New Roman"/>
          <w:b w:val="0"/>
          <w:sz w:val="20"/>
          <w:szCs w:val="20"/>
        </w:rPr>
        <w:t>Helmut Rumpler-Ulrike Harmat (a cura di),</w:t>
      </w:r>
      <w:r w:rsidRPr="001811B7">
        <w:rPr>
          <w:rFonts w:ascii="Times New Roman" w:hAnsi="Times New Roman"/>
          <w:b w:val="0"/>
          <w:i/>
          <w:sz w:val="20"/>
          <w:szCs w:val="20"/>
        </w:rPr>
        <w:t xml:space="preserve"> Bewältigte Vergangenheit? </w:t>
      </w:r>
      <w:r w:rsidRPr="001811B7">
        <w:rPr>
          <w:rFonts w:ascii="Times New Roman" w:eastAsia="Arial Unicode MS" w:hAnsi="Times New Roman"/>
          <w:b w:val="0"/>
          <w:i/>
          <w:color w:val="000000"/>
          <w:kern w:val="36"/>
          <w:sz w:val="20"/>
          <w:szCs w:val="20"/>
          <w:lang w:eastAsia="it-IT"/>
        </w:rPr>
        <w:t>Die nationale und internationale Historiographie zum Untergang der Habsburgermonarchie als ideelle Grundlage für die Neuordnung Europas</w:t>
      </w:r>
      <w:r w:rsidRPr="001811B7">
        <w:rPr>
          <w:rFonts w:ascii="Times New Roman" w:hAnsi="Times New Roman"/>
          <w:b w:val="0"/>
          <w:sz w:val="20"/>
          <w:szCs w:val="20"/>
        </w:rPr>
        <w:t>, Verlag der Österreichische Akademie der Wissenschaften (ÖAW), Wien 2018.</w:t>
      </w:r>
    </w:p>
  </w:footnote>
  <w:footnote w:id="4">
    <w:p w14:paraId="3A5FB150" w14:textId="77777777" w:rsidR="00591B49" w:rsidRPr="00C947BB" w:rsidRDefault="00591B49" w:rsidP="006D6265">
      <w:pPr>
        <w:pStyle w:val="Testonotaapidipagina"/>
        <w:ind w:right="567"/>
        <w:jc w:val="both"/>
        <w:rPr>
          <w:rFonts w:ascii="Times New Roman" w:hAnsi="Times New Roman"/>
        </w:rPr>
      </w:pPr>
      <w:r w:rsidRPr="00C947BB">
        <w:rPr>
          <w:rStyle w:val="Rimandonotaapidipagina"/>
          <w:rFonts w:ascii="Times New Roman" w:hAnsi="Times New Roman"/>
        </w:rPr>
        <w:footnoteRef/>
      </w:r>
      <w:r w:rsidRPr="00C947BB">
        <w:rPr>
          <w:rFonts w:ascii="Times New Roman" w:hAnsi="Times New Roman"/>
        </w:rPr>
        <w:t xml:space="preserve"> Marco Bellabarba, </w:t>
      </w:r>
      <w:r>
        <w:rPr>
          <w:rFonts w:ascii="Times New Roman" w:hAnsi="Times New Roman"/>
          <w:i/>
        </w:rPr>
        <w:t>L</w:t>
      </w:r>
      <w:r w:rsidRPr="00C947BB">
        <w:rPr>
          <w:rFonts w:ascii="Times New Roman" w:hAnsi="Times New Roman"/>
          <w:i/>
        </w:rPr>
        <w:t>’Impero asburgico</w:t>
      </w:r>
      <w:r w:rsidRPr="00C947BB">
        <w:rPr>
          <w:rFonts w:ascii="Times New Roman" w:hAnsi="Times New Roman"/>
        </w:rPr>
        <w:t>, Il Mulino, Bologna 2014;</w:t>
      </w:r>
      <w:r>
        <w:rPr>
          <w:rFonts w:ascii="Times New Roman" w:hAnsi="Times New Roman"/>
        </w:rPr>
        <w:t xml:space="preserve"> indi P</w:t>
      </w:r>
      <w:r w:rsidRPr="00C947BB">
        <w:rPr>
          <w:rFonts w:ascii="Times New Roman" w:hAnsi="Times New Roman"/>
        </w:rPr>
        <w:t xml:space="preserve">eter M. Judson, </w:t>
      </w:r>
      <w:r w:rsidRPr="00C947BB">
        <w:rPr>
          <w:rFonts w:ascii="Times New Roman" w:hAnsi="Times New Roman"/>
          <w:i/>
        </w:rPr>
        <w:t>The Habsburg Empire. A New History</w:t>
      </w:r>
      <w:r w:rsidRPr="00C947BB">
        <w:rPr>
          <w:rFonts w:ascii="Times New Roman" w:hAnsi="Times New Roman"/>
        </w:rPr>
        <w:t>, Harvard University Press, New York 2016.</w:t>
      </w:r>
    </w:p>
  </w:footnote>
  <w:footnote w:id="5">
    <w:p w14:paraId="04221ECF" w14:textId="77777777" w:rsidR="00591B49" w:rsidRPr="00C947BB" w:rsidRDefault="00591B49" w:rsidP="006D6265">
      <w:pPr>
        <w:pStyle w:val="Testonotaapidipagina"/>
        <w:ind w:right="567"/>
        <w:jc w:val="both"/>
        <w:rPr>
          <w:rFonts w:ascii="Times New Roman" w:hAnsi="Times New Roman"/>
        </w:rPr>
      </w:pPr>
      <w:r w:rsidRPr="00C947BB">
        <w:rPr>
          <w:rStyle w:val="Rimandonotaapidipagina"/>
          <w:rFonts w:ascii="Times New Roman" w:hAnsi="Times New Roman"/>
        </w:rPr>
        <w:footnoteRef/>
      </w:r>
      <w:r>
        <w:rPr>
          <w:rFonts w:ascii="Times New Roman" w:hAnsi="Times New Roman"/>
        </w:rPr>
        <w:t xml:space="preserve"> Vedi</w:t>
      </w:r>
      <w:r w:rsidRPr="00C947BB">
        <w:rPr>
          <w:rFonts w:ascii="Times New Roman" w:hAnsi="Times New Roman"/>
        </w:rPr>
        <w:t xml:space="preserve"> János Poór, </w:t>
      </w:r>
      <w:r w:rsidRPr="00C947BB">
        <w:rPr>
          <w:rFonts w:ascii="Times New Roman" w:hAnsi="Times New Roman"/>
          <w:i/>
        </w:rPr>
        <w:t>A Pragmatica Sanctio történetéhez</w:t>
      </w:r>
      <w:r w:rsidRPr="00C947BB">
        <w:rPr>
          <w:rFonts w:ascii="Times New Roman" w:hAnsi="Times New Roman"/>
        </w:rPr>
        <w:t xml:space="preserve"> [Per la storia</w:t>
      </w:r>
      <w:r>
        <w:rPr>
          <w:rFonts w:ascii="Times New Roman" w:hAnsi="Times New Roman"/>
        </w:rPr>
        <w:t xml:space="preserve"> della Prammatica Sanzione], in</w:t>
      </w:r>
      <w:r w:rsidRPr="00C947BB">
        <w:rPr>
          <w:rFonts w:ascii="Times New Roman" w:hAnsi="Times New Roman"/>
        </w:rPr>
        <w:t xml:space="preserve"> </w:t>
      </w:r>
      <w:r w:rsidRPr="00C947BB">
        <w:rPr>
          <w:rFonts w:ascii="Times New Roman" w:hAnsi="Times New Roman"/>
          <w:i/>
        </w:rPr>
        <w:t>Mária Terézia a magyarok királynője</w:t>
      </w:r>
      <w:r w:rsidRPr="00C947BB">
        <w:rPr>
          <w:rFonts w:ascii="Times New Roman" w:hAnsi="Times New Roman"/>
        </w:rPr>
        <w:t xml:space="preserve"> [Maria Teresa, la regina degli ungheresi],</w:t>
      </w:r>
      <w:r>
        <w:rPr>
          <w:rFonts w:ascii="Times New Roman" w:hAnsi="Times New Roman"/>
        </w:rPr>
        <w:t xml:space="preserve"> a cura di </w:t>
      </w:r>
      <w:r w:rsidRPr="00C947BB">
        <w:rPr>
          <w:rFonts w:ascii="Times New Roman" w:hAnsi="Times New Roman"/>
        </w:rPr>
        <w:t xml:space="preserve">András </w:t>
      </w:r>
      <w:r>
        <w:rPr>
          <w:rFonts w:ascii="Times New Roman" w:hAnsi="Times New Roman"/>
        </w:rPr>
        <w:t>Gerő e</w:t>
      </w:r>
      <w:r w:rsidRPr="00C947BB">
        <w:rPr>
          <w:rFonts w:ascii="Times New Roman" w:hAnsi="Times New Roman"/>
        </w:rPr>
        <w:t xml:space="preserve"> Beatrix Nagy</w:t>
      </w:r>
      <w:r>
        <w:rPr>
          <w:rFonts w:ascii="Times New Roman" w:hAnsi="Times New Roman"/>
        </w:rPr>
        <w:t>,</w:t>
      </w:r>
      <w:r w:rsidRPr="00C947BB">
        <w:rPr>
          <w:rFonts w:ascii="Times New Roman" w:hAnsi="Times New Roman"/>
        </w:rPr>
        <w:t xml:space="preserve"> EPC Nyomda, Budaörs (Budapest) 2018, pp. 151-177.</w:t>
      </w:r>
    </w:p>
  </w:footnote>
  <w:footnote w:id="6">
    <w:p w14:paraId="2C04AF63" w14:textId="77777777" w:rsidR="00591B49" w:rsidRPr="00C947BB" w:rsidRDefault="00591B49" w:rsidP="006D6265">
      <w:pPr>
        <w:pStyle w:val="Testonotaapidipagina"/>
        <w:ind w:right="567"/>
        <w:jc w:val="both"/>
        <w:rPr>
          <w:rFonts w:ascii="Times New Roman" w:hAnsi="Times New Roman"/>
        </w:rPr>
      </w:pPr>
      <w:r w:rsidRPr="00C947BB">
        <w:rPr>
          <w:rStyle w:val="Rimandonotaapidipagina"/>
          <w:rFonts w:ascii="Times New Roman" w:hAnsi="Times New Roman"/>
        </w:rPr>
        <w:footnoteRef/>
      </w:r>
      <w:r w:rsidRPr="00C947BB">
        <w:rPr>
          <w:rFonts w:ascii="Times New Roman" w:hAnsi="Times New Roman"/>
        </w:rPr>
        <w:t xml:space="preserve"> Sul </w:t>
      </w:r>
      <w:r w:rsidRPr="00704F05">
        <w:rPr>
          <w:rFonts w:ascii="Times New Roman" w:hAnsi="Times New Roman"/>
        </w:rPr>
        <w:t>Gran Principe di Transilvania</w:t>
      </w:r>
      <w:r w:rsidRPr="00C947BB">
        <w:rPr>
          <w:rFonts w:ascii="Times New Roman" w:hAnsi="Times New Roman"/>
        </w:rPr>
        <w:t>, alleato di Luigi XIV di Francia,</w:t>
      </w:r>
      <w:r>
        <w:rPr>
          <w:rFonts w:ascii="Times New Roman" w:hAnsi="Times New Roman"/>
        </w:rPr>
        <w:t xml:space="preserve"> cfr. Béla Köpeczi-</w:t>
      </w:r>
      <w:r w:rsidRPr="00C947BB">
        <w:rPr>
          <w:rFonts w:ascii="Times New Roman" w:hAnsi="Times New Roman"/>
        </w:rPr>
        <w:t>Ágnes</w:t>
      </w:r>
      <w:r>
        <w:rPr>
          <w:rFonts w:ascii="Times New Roman" w:hAnsi="Times New Roman"/>
        </w:rPr>
        <w:t xml:space="preserve"> R.</w:t>
      </w:r>
      <w:r w:rsidRPr="00C947BB">
        <w:rPr>
          <w:rFonts w:ascii="Times New Roman" w:hAnsi="Times New Roman"/>
        </w:rPr>
        <w:t xml:space="preserve"> Várkonyi, </w:t>
      </w:r>
      <w:r w:rsidRPr="00C947BB">
        <w:rPr>
          <w:rFonts w:ascii="Times New Roman" w:hAnsi="Times New Roman"/>
          <w:i/>
        </w:rPr>
        <w:t>II. Rákóczi Ferenc</w:t>
      </w:r>
      <w:r w:rsidRPr="00C947BB">
        <w:rPr>
          <w:rFonts w:ascii="Times New Roman" w:hAnsi="Times New Roman"/>
        </w:rPr>
        <w:t>,</w:t>
      </w:r>
      <w:r>
        <w:rPr>
          <w:rFonts w:ascii="Times New Roman" w:hAnsi="Times New Roman"/>
        </w:rPr>
        <w:t xml:space="preserve"> Osiris Kiadó, Budapest 2004, </w:t>
      </w:r>
      <w:r w:rsidRPr="00C947BB">
        <w:rPr>
          <w:rFonts w:ascii="Times New Roman" w:hAnsi="Times New Roman"/>
        </w:rPr>
        <w:t>edizione riveduta e c</w:t>
      </w:r>
      <w:r>
        <w:rPr>
          <w:rFonts w:ascii="Times New Roman" w:hAnsi="Times New Roman"/>
        </w:rPr>
        <w:t>orretta dell’originale del 1976</w:t>
      </w:r>
      <w:r w:rsidRPr="00C947BB">
        <w:rPr>
          <w:rFonts w:ascii="Times New Roman" w:hAnsi="Times New Roman"/>
        </w:rPr>
        <w:t>.</w:t>
      </w:r>
    </w:p>
  </w:footnote>
  <w:footnote w:id="7">
    <w:p w14:paraId="4AC927AE" w14:textId="77777777" w:rsidR="00591B49" w:rsidRPr="008E0762" w:rsidRDefault="00591B49" w:rsidP="006D6265">
      <w:pPr>
        <w:pStyle w:val="Testonotaapidipagina"/>
        <w:ind w:right="567"/>
        <w:jc w:val="both"/>
        <w:rPr>
          <w:rFonts w:ascii="Times New Roman" w:hAnsi="Times New Roman"/>
          <w:lang w:val="en-US"/>
        </w:rPr>
      </w:pPr>
      <w:r w:rsidRPr="00C947BB">
        <w:rPr>
          <w:rStyle w:val="Rimandonotaapidipagina"/>
          <w:rFonts w:ascii="Times New Roman" w:hAnsi="Times New Roman"/>
        </w:rPr>
        <w:footnoteRef/>
      </w:r>
      <w:r>
        <w:rPr>
          <w:rFonts w:ascii="Times New Roman" w:hAnsi="Times New Roman"/>
          <w:lang w:val="en-US"/>
        </w:rPr>
        <w:t xml:space="preserve"> Vedi Josef Petráň-</w:t>
      </w:r>
      <w:r w:rsidRPr="00C947BB">
        <w:rPr>
          <w:rFonts w:ascii="Times New Roman" w:hAnsi="Times New Roman"/>
          <w:lang w:val="en-US"/>
        </w:rPr>
        <w:t xml:space="preserve">Lydia Petráňová, </w:t>
      </w:r>
      <w:r w:rsidRPr="00C947BB">
        <w:rPr>
          <w:rFonts w:ascii="Times New Roman" w:hAnsi="Times New Roman"/>
          <w:i/>
          <w:lang w:val="en-US"/>
        </w:rPr>
        <w:t>The White Mountain as a Symbol in Modern Czech History</w:t>
      </w:r>
      <w:r>
        <w:rPr>
          <w:rFonts w:ascii="Times New Roman" w:hAnsi="Times New Roman"/>
          <w:lang w:val="en-US"/>
        </w:rPr>
        <w:t xml:space="preserve">, in </w:t>
      </w:r>
      <w:r w:rsidRPr="00C947BB">
        <w:rPr>
          <w:rFonts w:ascii="Times New Roman" w:hAnsi="Times New Roman"/>
          <w:i/>
          <w:lang w:val="en-US"/>
        </w:rPr>
        <w:t>Bohemia in History</w:t>
      </w:r>
      <w:r w:rsidRPr="00C947BB">
        <w:rPr>
          <w:rFonts w:ascii="Times New Roman" w:hAnsi="Times New Roman"/>
          <w:lang w:val="en-US"/>
        </w:rPr>
        <w:t>,</w:t>
      </w:r>
      <w:r>
        <w:rPr>
          <w:rFonts w:ascii="Times New Roman" w:hAnsi="Times New Roman"/>
          <w:lang w:val="en-US"/>
        </w:rPr>
        <w:t xml:space="preserve"> a cura di Mikuláš Teich,</w:t>
      </w:r>
      <w:r w:rsidRPr="00C947BB">
        <w:rPr>
          <w:rFonts w:ascii="Times New Roman" w:hAnsi="Times New Roman"/>
          <w:lang w:val="en-US"/>
        </w:rPr>
        <w:t xml:space="preserve"> Cambridge University Pre</w:t>
      </w:r>
      <w:r>
        <w:rPr>
          <w:rFonts w:ascii="Times New Roman" w:hAnsi="Times New Roman"/>
          <w:lang w:val="en-US"/>
        </w:rPr>
        <w:t>ss, Cambridge 1998, pp. 143-163, in particolare p</w:t>
      </w:r>
      <w:r w:rsidRPr="00C947BB">
        <w:rPr>
          <w:rFonts w:ascii="Times New Roman" w:hAnsi="Times New Roman"/>
          <w:lang w:val="en-US"/>
        </w:rPr>
        <w:t>. 145;</w:t>
      </w:r>
      <w:r>
        <w:rPr>
          <w:rFonts w:ascii="Times New Roman" w:hAnsi="Times New Roman"/>
          <w:lang w:val="en-US"/>
        </w:rPr>
        <w:t xml:space="preserve"> inoltre</w:t>
      </w:r>
      <w:r w:rsidRPr="00C947BB">
        <w:rPr>
          <w:rFonts w:ascii="Times New Roman" w:hAnsi="Times New Roman"/>
          <w:lang w:val="en-US"/>
        </w:rPr>
        <w:t xml:space="preserve"> Jörg K. Hoensch, </w:t>
      </w:r>
      <w:r w:rsidRPr="00C947BB">
        <w:rPr>
          <w:rFonts w:ascii="Times New Roman" w:hAnsi="Times New Roman"/>
          <w:i/>
          <w:lang w:val="en-US"/>
        </w:rPr>
        <w:t>Geschichte Böhmens. Von d</w:t>
      </w:r>
      <w:r>
        <w:rPr>
          <w:rFonts w:ascii="Times New Roman" w:hAnsi="Times New Roman"/>
          <w:i/>
          <w:lang w:val="en-US"/>
        </w:rPr>
        <w:t xml:space="preserve">er slavischen Landnahme bis ins </w:t>
      </w:r>
      <w:r w:rsidRPr="00C947BB">
        <w:rPr>
          <w:rFonts w:ascii="Times New Roman" w:hAnsi="Times New Roman"/>
          <w:i/>
          <w:lang w:val="en-US"/>
        </w:rPr>
        <w:t xml:space="preserve">20. </w:t>
      </w:r>
      <w:r w:rsidRPr="008E0762">
        <w:rPr>
          <w:rFonts w:ascii="Times New Roman" w:hAnsi="Times New Roman"/>
          <w:i/>
          <w:lang w:val="en-US"/>
        </w:rPr>
        <w:t>Jahrhundert</w:t>
      </w:r>
      <w:r w:rsidRPr="008E0762">
        <w:rPr>
          <w:rFonts w:ascii="Times New Roman" w:hAnsi="Times New Roman"/>
          <w:lang w:val="en-US"/>
        </w:rPr>
        <w:t>, Verlag C. H. Beck, München 1987, pp. 220-240.</w:t>
      </w:r>
    </w:p>
  </w:footnote>
  <w:footnote w:id="8">
    <w:p w14:paraId="22041953" w14:textId="77777777" w:rsidR="00591B49" w:rsidRPr="00CB72E2" w:rsidRDefault="00591B49" w:rsidP="00813700">
      <w:pPr>
        <w:pStyle w:val="Testonotaapidipagina"/>
        <w:ind w:right="567"/>
        <w:jc w:val="both"/>
        <w:rPr>
          <w:rFonts w:ascii="Times New Roman" w:hAnsi="Times New Roman"/>
        </w:rPr>
      </w:pPr>
      <w:r>
        <w:rPr>
          <w:rStyle w:val="Rimandonotaapidipagina"/>
        </w:rPr>
        <w:footnoteRef/>
      </w:r>
      <w:r>
        <w:t xml:space="preserve"> </w:t>
      </w:r>
      <w:r w:rsidRPr="00CB72E2">
        <w:rPr>
          <w:rFonts w:ascii="Times New Roman" w:hAnsi="Times New Roman"/>
        </w:rPr>
        <w:t xml:space="preserve">Jean Paul Bled, in </w:t>
      </w:r>
      <w:r w:rsidRPr="00CB72E2">
        <w:rPr>
          <w:rFonts w:ascii="Times New Roman" w:hAnsi="Times New Roman"/>
          <w:i/>
        </w:rPr>
        <w:t>Maria Teresa d’Austria</w:t>
      </w:r>
      <w:r w:rsidRPr="00CB72E2">
        <w:rPr>
          <w:rFonts w:ascii="Times New Roman" w:hAnsi="Times New Roman"/>
        </w:rPr>
        <w:t>, Il Mul</w:t>
      </w:r>
      <w:r>
        <w:rPr>
          <w:rFonts w:ascii="Times New Roman" w:hAnsi="Times New Roman"/>
        </w:rPr>
        <w:t>ino, Bologna 2003, dedica</w:t>
      </w:r>
      <w:r w:rsidRPr="00CB72E2">
        <w:rPr>
          <w:rFonts w:ascii="Times New Roman" w:hAnsi="Times New Roman"/>
        </w:rPr>
        <w:t xml:space="preserve"> riflessioni illuminanti al rapporto tra la sovrana e gli ungheresi</w:t>
      </w:r>
      <w:r>
        <w:rPr>
          <w:rFonts w:ascii="Times New Roman" w:hAnsi="Times New Roman"/>
        </w:rPr>
        <w:t>, perfettamente condivise dall’autore del presente saggio: cap. VII, pp. 185-189</w:t>
      </w:r>
      <w:r w:rsidRPr="00CB72E2">
        <w:rPr>
          <w:rFonts w:ascii="Times New Roman" w:hAnsi="Times New Roman"/>
        </w:rPr>
        <w:t xml:space="preserve"> </w:t>
      </w:r>
      <w:r>
        <w:rPr>
          <w:rFonts w:ascii="Times New Roman" w:hAnsi="Times New Roman"/>
        </w:rPr>
        <w:t xml:space="preserve">(in versione originale </w:t>
      </w:r>
      <w:r w:rsidRPr="00CB72E2">
        <w:rPr>
          <w:rFonts w:ascii="Times New Roman" w:hAnsi="Times New Roman"/>
          <w:i/>
        </w:rPr>
        <w:t>Marie-Thérèse d’Autriche</w:t>
      </w:r>
      <w:r>
        <w:rPr>
          <w:rFonts w:ascii="Times New Roman" w:hAnsi="Times New Roman"/>
        </w:rPr>
        <w:t>,</w:t>
      </w:r>
      <w:r w:rsidRPr="00CB72E2">
        <w:rPr>
          <w:rFonts w:ascii="Times New Roman" w:hAnsi="Times New Roman"/>
        </w:rPr>
        <w:t xml:space="preserve"> Fayard, Paris 2001).</w:t>
      </w:r>
    </w:p>
    <w:p w14:paraId="124C5A33" w14:textId="77777777" w:rsidR="00591B49" w:rsidRPr="008D1536" w:rsidRDefault="00591B49">
      <w:pPr>
        <w:pStyle w:val="Testonotaapidipagina"/>
      </w:pPr>
    </w:p>
  </w:footnote>
  <w:footnote w:id="9">
    <w:p w14:paraId="162D103A" w14:textId="66F24679" w:rsidR="00591B49" w:rsidRPr="00E52AC1" w:rsidRDefault="00591B49" w:rsidP="00E52AC1">
      <w:pPr>
        <w:pStyle w:val="Testonotaapidipagina"/>
        <w:ind w:right="567"/>
        <w:jc w:val="both"/>
        <w:rPr>
          <w:rFonts w:ascii="Times New Roman" w:hAnsi="Times New Roman"/>
        </w:rPr>
      </w:pPr>
      <w:r w:rsidRPr="00C947BB">
        <w:rPr>
          <w:rStyle w:val="Rimandonotaapidipagina"/>
          <w:rFonts w:ascii="Times New Roman" w:hAnsi="Times New Roman"/>
        </w:rPr>
        <w:footnoteRef/>
      </w:r>
      <w:r>
        <w:rPr>
          <w:rFonts w:ascii="Times New Roman" w:hAnsi="Times New Roman"/>
        </w:rPr>
        <w:t xml:space="preserve"> Con l’istituzione dei reggimenti confinari valacchi della Transilvania e del Banato, Maria Teresa promosse involontariamente </w:t>
      </w:r>
      <w:r w:rsidRPr="00C947BB">
        <w:rPr>
          <w:rFonts w:ascii="Times New Roman" w:hAnsi="Times New Roman"/>
        </w:rPr>
        <w:t>o sviluppo della coscienza nazional</w:t>
      </w:r>
      <w:r w:rsidR="000459AA">
        <w:rPr>
          <w:rFonts w:ascii="Times New Roman" w:hAnsi="Times New Roman"/>
        </w:rPr>
        <w:t>e romena.</w:t>
      </w:r>
      <w:r w:rsidRPr="00C947BB">
        <w:rPr>
          <w:rFonts w:ascii="Times New Roman" w:hAnsi="Times New Roman"/>
        </w:rPr>
        <w:t xml:space="preserve"> </w:t>
      </w:r>
      <w:r w:rsidRPr="0081709D">
        <w:rPr>
          <w:rFonts w:ascii="Times New Roman" w:hAnsi="Times New Roman"/>
        </w:rPr>
        <w:t>La questione costituisce da tempo un oggetto di ricerca e confronto fra gli storici romeni</w:t>
      </w:r>
      <w:r w:rsidRPr="00C947BB">
        <w:rPr>
          <w:rFonts w:ascii="Times New Roman" w:hAnsi="Times New Roman"/>
        </w:rPr>
        <w:t>. Si vedano</w:t>
      </w:r>
      <w:r>
        <w:rPr>
          <w:rFonts w:ascii="Times New Roman" w:hAnsi="Times New Roman"/>
        </w:rPr>
        <w:t>,</w:t>
      </w:r>
      <w:r w:rsidRPr="00C947BB">
        <w:rPr>
          <w:rFonts w:ascii="Times New Roman" w:hAnsi="Times New Roman"/>
        </w:rPr>
        <w:t xml:space="preserve"> ad esempio</w:t>
      </w:r>
      <w:r>
        <w:rPr>
          <w:rFonts w:ascii="Times New Roman" w:hAnsi="Times New Roman"/>
        </w:rPr>
        <w:t xml:space="preserve">, </w:t>
      </w:r>
      <w:r w:rsidRPr="00E52AC1">
        <w:rPr>
          <w:rFonts w:ascii="Times New Roman" w:hAnsi="Times New Roman"/>
        </w:rPr>
        <w:t xml:space="preserve">Carol Göllner, </w:t>
      </w:r>
      <w:r w:rsidRPr="00E52AC1">
        <w:rPr>
          <w:rFonts w:ascii="Times New Roman" w:hAnsi="Times New Roman"/>
          <w:i/>
        </w:rPr>
        <w:t>Regimentele grănicereşti din Transilvania</w:t>
      </w:r>
      <w:r w:rsidRPr="00E52AC1">
        <w:rPr>
          <w:rFonts w:ascii="Times New Roman" w:hAnsi="Times New Roman"/>
        </w:rPr>
        <w:t xml:space="preserve"> </w:t>
      </w:r>
      <w:r w:rsidRPr="00E52AC1">
        <w:rPr>
          <w:rFonts w:ascii="Times New Roman" w:hAnsi="Times New Roman"/>
          <w:i/>
        </w:rPr>
        <w:t>1764-1851</w:t>
      </w:r>
      <w:r w:rsidRPr="00E52AC1">
        <w:rPr>
          <w:rFonts w:ascii="Times New Roman" w:hAnsi="Times New Roman"/>
        </w:rPr>
        <w:t xml:space="preserve"> [I reggimenti confinari della Transilvania], </w:t>
      </w:r>
      <w:r w:rsidRPr="00E52AC1">
        <w:rPr>
          <w:rFonts w:ascii="Times New Roman" w:eastAsia="Arial Unicode MS" w:hAnsi="Times New Roman"/>
          <w:shd w:val="clear" w:color="auto" w:fill="FFFFFF"/>
        </w:rPr>
        <w:t>Editura militarǎ,</w:t>
      </w:r>
      <w:r w:rsidRPr="00E52AC1">
        <w:rPr>
          <w:rFonts w:ascii="Times New Roman" w:hAnsi="Times New Roman"/>
        </w:rPr>
        <w:t xml:space="preserve"> Bucureşti 1973; indi Liviu Maior-Nicolae Boçsan-Ioan Bolovan (a cura di), </w:t>
      </w:r>
      <w:r w:rsidRPr="00E52AC1">
        <w:rPr>
          <w:rFonts w:ascii="Times New Roman" w:hAnsi="Times New Roman"/>
          <w:i/>
        </w:rPr>
        <w:t>The Austrian Military Border: its political and cultural impact</w:t>
      </w:r>
      <w:r w:rsidRPr="00E52AC1">
        <w:rPr>
          <w:rFonts w:ascii="Times New Roman" w:hAnsi="Times New Roman"/>
        </w:rPr>
        <w:t xml:space="preserve">, </w:t>
      </w:r>
      <w:r w:rsidRPr="00E52AC1">
        <w:rPr>
          <w:rFonts w:ascii="Times New Roman" w:eastAsia="Arial Unicode MS" w:hAnsi="Times New Roman"/>
          <w:color w:val="000000"/>
          <w:shd w:val="clear" w:color="auto" w:fill="FFFFFF"/>
        </w:rPr>
        <w:t>Glasul Bucovinei,</w:t>
      </w:r>
      <w:r w:rsidRPr="00E52AC1">
        <w:rPr>
          <w:rFonts w:ascii="Times New Roman" w:hAnsi="Times New Roman"/>
        </w:rPr>
        <w:t xml:space="preserve"> Iaşi 1994.</w:t>
      </w:r>
    </w:p>
  </w:footnote>
  <w:footnote w:id="10">
    <w:p w14:paraId="59D42F4D" w14:textId="77777777" w:rsidR="00591B49" w:rsidRPr="00C947BB" w:rsidRDefault="00591B49" w:rsidP="006D6265">
      <w:pPr>
        <w:pStyle w:val="Testonotaapidipagina"/>
        <w:ind w:right="567"/>
        <w:jc w:val="both"/>
        <w:rPr>
          <w:rFonts w:ascii="Times New Roman" w:hAnsi="Times New Roman"/>
        </w:rPr>
      </w:pPr>
      <w:r w:rsidRPr="00C947BB">
        <w:rPr>
          <w:rStyle w:val="Rimandonotaapidipagina"/>
          <w:rFonts w:ascii="Times New Roman" w:hAnsi="Times New Roman"/>
        </w:rPr>
        <w:footnoteRef/>
      </w:r>
      <w:r w:rsidRPr="00C947BB">
        <w:rPr>
          <w:rFonts w:ascii="Times New Roman" w:hAnsi="Times New Roman"/>
        </w:rPr>
        <w:t xml:space="preserve"> Sulla creazione del </w:t>
      </w:r>
      <w:r w:rsidRPr="00C947BB">
        <w:rPr>
          <w:rFonts w:ascii="Times New Roman" w:hAnsi="Times New Roman"/>
          <w:i/>
        </w:rPr>
        <w:t>Corpus Separatum</w:t>
      </w:r>
      <w:r w:rsidRPr="00C947BB">
        <w:rPr>
          <w:rFonts w:ascii="Times New Roman" w:hAnsi="Times New Roman"/>
        </w:rPr>
        <w:t xml:space="preserve"> vedi Ester Capuzzo, </w:t>
      </w:r>
      <w:r>
        <w:rPr>
          <w:rFonts w:ascii="Times New Roman" w:hAnsi="Times New Roman"/>
          <w:i/>
        </w:rPr>
        <w:t>Da “fedelissima” a “irredenta”</w:t>
      </w:r>
      <w:r w:rsidRPr="00C947BB">
        <w:rPr>
          <w:rFonts w:ascii="Times New Roman" w:hAnsi="Times New Roman"/>
          <w:i/>
        </w:rPr>
        <w:t>: l’autonomia della città di Fiume</w:t>
      </w:r>
      <w:r>
        <w:rPr>
          <w:rFonts w:ascii="Times New Roman" w:hAnsi="Times New Roman"/>
        </w:rPr>
        <w:t>, ne</w:t>
      </w:r>
      <w:r w:rsidRPr="00C947BB">
        <w:rPr>
          <w:rFonts w:ascii="Times New Roman" w:hAnsi="Times New Roman"/>
        </w:rPr>
        <w:t xml:space="preserve"> </w:t>
      </w:r>
      <w:r w:rsidRPr="00C947BB">
        <w:rPr>
          <w:rFonts w:ascii="Times New Roman" w:hAnsi="Times New Roman"/>
          <w:i/>
        </w:rPr>
        <w:t>L’autonomia fiumana (1896-1947) e la figura di Riccardo Zanella</w:t>
      </w:r>
      <w:r w:rsidRPr="0023695A">
        <w:rPr>
          <w:rFonts w:ascii="Times New Roman" w:hAnsi="Times New Roman"/>
          <w:i/>
        </w:rPr>
        <w:t xml:space="preserve"> (Atti del Convegno, Trieste 3 novembre 1996)</w:t>
      </w:r>
      <w:r w:rsidRPr="00C947BB">
        <w:rPr>
          <w:rFonts w:ascii="Times New Roman" w:hAnsi="Times New Roman"/>
        </w:rPr>
        <w:t>, Lino-Tipo Spoletini, Roma 1997, pp. 19-41</w:t>
      </w:r>
      <w:r>
        <w:rPr>
          <w:rFonts w:ascii="Times New Roman" w:hAnsi="Times New Roman"/>
        </w:rPr>
        <w:t>.</w:t>
      </w:r>
    </w:p>
  </w:footnote>
  <w:footnote w:id="11">
    <w:p w14:paraId="3C277996" w14:textId="77777777" w:rsidR="00591B49" w:rsidRPr="00C947BB" w:rsidRDefault="00591B49" w:rsidP="006D6265">
      <w:pPr>
        <w:pStyle w:val="Testonotaapidipagina"/>
        <w:ind w:right="567"/>
        <w:jc w:val="both"/>
        <w:rPr>
          <w:rFonts w:ascii="Times New Roman" w:hAnsi="Times New Roman"/>
        </w:rPr>
      </w:pPr>
      <w:r w:rsidRPr="00C947BB">
        <w:rPr>
          <w:rStyle w:val="Rimandonotaapidipagina"/>
          <w:rFonts w:ascii="Times New Roman" w:hAnsi="Times New Roman"/>
        </w:rPr>
        <w:footnoteRef/>
      </w:r>
      <w:r w:rsidRPr="00C947BB">
        <w:rPr>
          <w:rFonts w:ascii="Times New Roman" w:hAnsi="Times New Roman"/>
        </w:rPr>
        <w:t xml:space="preserve"> Dei rapporti tra madre e figlio e delle</w:t>
      </w:r>
      <w:r>
        <w:rPr>
          <w:rFonts w:ascii="Times New Roman" w:hAnsi="Times New Roman"/>
        </w:rPr>
        <w:t xml:space="preserve"> loro</w:t>
      </w:r>
      <w:r w:rsidRPr="00C947BB">
        <w:rPr>
          <w:rFonts w:ascii="Times New Roman" w:hAnsi="Times New Roman"/>
        </w:rPr>
        <w:t xml:space="preserve"> </w:t>
      </w:r>
      <w:r>
        <w:rPr>
          <w:rFonts w:ascii="Times New Roman" w:hAnsi="Times New Roman"/>
        </w:rPr>
        <w:t>ripercussioni sul governo dell’I</w:t>
      </w:r>
      <w:r w:rsidRPr="00C947BB">
        <w:rPr>
          <w:rFonts w:ascii="Times New Roman" w:hAnsi="Times New Roman"/>
        </w:rPr>
        <w:t>mpero</w:t>
      </w:r>
      <w:r>
        <w:rPr>
          <w:rFonts w:ascii="Times New Roman" w:hAnsi="Times New Roman"/>
        </w:rPr>
        <w:t>,</w:t>
      </w:r>
      <w:r w:rsidRPr="00C947BB">
        <w:rPr>
          <w:rFonts w:ascii="Times New Roman" w:hAnsi="Times New Roman"/>
        </w:rPr>
        <w:t xml:space="preserve"> si occupa János Barta (ifj.), </w:t>
      </w:r>
      <w:r w:rsidRPr="00C947BB">
        <w:rPr>
          <w:rFonts w:ascii="Times New Roman" w:hAnsi="Times New Roman"/>
          <w:i/>
        </w:rPr>
        <w:t>Mária Terézia és II. József</w:t>
      </w:r>
      <w:r w:rsidRPr="00C947BB">
        <w:rPr>
          <w:rFonts w:ascii="Times New Roman" w:hAnsi="Times New Roman"/>
        </w:rPr>
        <w:t xml:space="preserve"> [Maria T</w:t>
      </w:r>
      <w:r>
        <w:rPr>
          <w:rFonts w:ascii="Times New Roman" w:hAnsi="Times New Roman"/>
        </w:rPr>
        <w:t>eresa e Giuseppe II], in</w:t>
      </w:r>
      <w:r w:rsidRPr="00C947BB">
        <w:rPr>
          <w:rFonts w:ascii="Times New Roman" w:hAnsi="Times New Roman"/>
        </w:rPr>
        <w:t xml:space="preserve"> </w:t>
      </w:r>
      <w:r>
        <w:rPr>
          <w:rFonts w:ascii="Times New Roman" w:hAnsi="Times New Roman"/>
          <w:i/>
        </w:rPr>
        <w:t>Mária Terézia</w:t>
      </w:r>
      <w:r>
        <w:rPr>
          <w:rFonts w:ascii="Times New Roman" w:hAnsi="Times New Roman"/>
        </w:rPr>
        <w:t>… cit.,</w:t>
      </w:r>
      <w:r w:rsidRPr="00C947BB">
        <w:rPr>
          <w:rFonts w:ascii="Times New Roman" w:hAnsi="Times New Roman"/>
        </w:rPr>
        <w:t xml:space="preserve"> pp. 13-40.</w:t>
      </w:r>
    </w:p>
  </w:footnote>
  <w:footnote w:id="12">
    <w:p w14:paraId="51703673" w14:textId="77777777" w:rsidR="00591B49" w:rsidRPr="00EE434C" w:rsidRDefault="00591B49" w:rsidP="00EE434C">
      <w:pPr>
        <w:pStyle w:val="Testonotaapidipagina"/>
        <w:ind w:right="567"/>
        <w:jc w:val="both"/>
      </w:pPr>
      <w:r>
        <w:rPr>
          <w:rStyle w:val="Rimandonotaapidipagina"/>
        </w:rPr>
        <w:footnoteRef/>
      </w:r>
      <w:r>
        <w:t xml:space="preserve"> </w:t>
      </w:r>
      <w:r>
        <w:rPr>
          <w:rFonts w:ascii="Times New Roman" w:hAnsi="Times New Roman"/>
        </w:rPr>
        <w:t>Nell’</w:t>
      </w:r>
      <w:r w:rsidRPr="00EC16A8">
        <w:rPr>
          <w:rFonts w:ascii="Times New Roman" w:hAnsi="Times New Roman"/>
        </w:rPr>
        <w:t xml:space="preserve">ampia monografia di Larry Wolff, </w:t>
      </w:r>
      <w:r w:rsidRPr="00EC16A8">
        <w:rPr>
          <w:rFonts w:ascii="Times New Roman" w:hAnsi="Times New Roman"/>
          <w:i/>
        </w:rPr>
        <w:t>The Idea of Galicia. History and Fantasy in Habsburg Political Culture</w:t>
      </w:r>
      <w:r>
        <w:rPr>
          <w:rFonts w:ascii="Times New Roman" w:hAnsi="Times New Roman"/>
        </w:rPr>
        <w:t>, Stanford University Press, Stanford, California 2010,</w:t>
      </w:r>
      <w:r w:rsidRPr="00EC16A8">
        <w:rPr>
          <w:rFonts w:ascii="Times New Roman" w:hAnsi="Times New Roman"/>
        </w:rPr>
        <w:t xml:space="preserve"> il primo capitolo</w:t>
      </w:r>
      <w:r>
        <w:rPr>
          <w:rFonts w:ascii="Times New Roman" w:hAnsi="Times New Roman"/>
        </w:rPr>
        <w:t xml:space="preserve"> (</w:t>
      </w:r>
      <w:r w:rsidRPr="00401A9E">
        <w:rPr>
          <w:rFonts w:ascii="Times New Roman" w:hAnsi="Times New Roman"/>
          <w:i/>
        </w:rPr>
        <w:t>Inventing Galicia. The Josephine Enlightenment and the Partitions of Poland</w:t>
      </w:r>
      <w:r>
        <w:rPr>
          <w:rFonts w:ascii="Times New Roman" w:hAnsi="Times New Roman"/>
        </w:rPr>
        <w:t>, pp. 13-62) è dedicato</w:t>
      </w:r>
      <w:r w:rsidRPr="00EC16A8">
        <w:rPr>
          <w:rFonts w:ascii="Times New Roman" w:hAnsi="Times New Roman"/>
        </w:rPr>
        <w:t xml:space="preserve"> alla </w:t>
      </w:r>
      <w:r>
        <w:rPr>
          <w:rFonts w:ascii="Times New Roman" w:hAnsi="Times New Roman"/>
        </w:rPr>
        <w:t xml:space="preserve">costruzione delle relazioni fra Vienna e la parte di Polonia acquisita dagli Asburgo dopo la prima spartizione (1772). Le riflessioni dell’autore sono incentrate sul problema dell’integrazione della Galizia, citando espressamente il viaggio di Giuseppe II nel 1773 e il formarsi di un gruppo di funzionari imperiali solidali con l’idea di ampie riforme strutturali, intese a deprimere il potere dell’aristocrazia polacca e a migliorare le condizioni di vita delle masse rurali.  </w:t>
      </w:r>
      <w:r w:rsidRPr="00EC16A8">
        <w:rPr>
          <w:rFonts w:ascii="Times New Roman" w:hAnsi="Times New Roman"/>
        </w:rPr>
        <w:t xml:space="preserve"> </w:t>
      </w:r>
    </w:p>
  </w:footnote>
  <w:footnote w:id="13">
    <w:p w14:paraId="58E5B424" w14:textId="77777777" w:rsidR="00591B49" w:rsidRPr="00C947BB" w:rsidRDefault="00591B49" w:rsidP="006D6265">
      <w:pPr>
        <w:pStyle w:val="Testonotaapidipagina"/>
        <w:ind w:right="567"/>
        <w:jc w:val="both"/>
        <w:rPr>
          <w:rFonts w:ascii="Times New Roman" w:hAnsi="Times New Roman"/>
        </w:rPr>
      </w:pPr>
      <w:r w:rsidRPr="00C947BB">
        <w:rPr>
          <w:rStyle w:val="Rimandonotaapidipagina"/>
          <w:rFonts w:ascii="Times New Roman" w:hAnsi="Times New Roman"/>
        </w:rPr>
        <w:footnoteRef/>
      </w:r>
      <w:r w:rsidRPr="00C947BB">
        <w:rPr>
          <w:rFonts w:ascii="Times New Roman" w:hAnsi="Times New Roman"/>
        </w:rPr>
        <w:t xml:space="preserve"> In </w:t>
      </w:r>
      <w:r>
        <w:rPr>
          <w:rFonts w:ascii="Times New Roman" w:hAnsi="Times New Roman"/>
        </w:rPr>
        <w:t xml:space="preserve">proposito si veda Ileana Bozac-Teodor Pavel (a cura di), </w:t>
      </w:r>
      <w:r w:rsidRPr="008C0E6C">
        <w:rPr>
          <w:rFonts w:ascii="Times New Roman" w:hAnsi="Times New Roman"/>
          <w:i/>
        </w:rPr>
        <w:t>Călătoria împăratului Iosif al II-lea în Transilvania la 1773/Die Reise Kaiser Josephs II. Durch Siebenbürgen im Jahre 1773</w:t>
      </w:r>
      <w:r w:rsidRPr="008C0E6C">
        <w:rPr>
          <w:rFonts w:ascii="Times New Roman" w:hAnsi="Times New Roman"/>
        </w:rPr>
        <w:t xml:space="preserve"> [Il viaggio dell’imperatore Giuseppe II in Transilvania nel 1773] Vol.</w:t>
      </w:r>
      <w:r>
        <w:rPr>
          <w:rFonts w:ascii="Times New Roman" w:hAnsi="Times New Roman"/>
        </w:rPr>
        <w:t xml:space="preserve"> 1,</w:t>
      </w:r>
      <w:r w:rsidRPr="003855C1">
        <w:rPr>
          <w:rFonts w:ascii="Times New Roman" w:hAnsi="Times New Roman"/>
        </w:rPr>
        <w:t xml:space="preserve"> Institutul Cultural Román/Rumänisches Kulturinstitut, Cluj-Napoca/Klausenburg 2006. </w:t>
      </w:r>
      <w:r w:rsidRPr="00C947BB">
        <w:rPr>
          <w:rFonts w:ascii="Times New Roman" w:hAnsi="Times New Roman"/>
        </w:rPr>
        <w:t>Un ampio saggio iniziale introduce la raccolt</w:t>
      </w:r>
      <w:r>
        <w:rPr>
          <w:rFonts w:ascii="Times New Roman" w:hAnsi="Times New Roman"/>
        </w:rPr>
        <w:t>a documentaria di fonti d’epoca,</w:t>
      </w:r>
      <w:r w:rsidRPr="00C947BB">
        <w:rPr>
          <w:rFonts w:ascii="Times New Roman" w:hAnsi="Times New Roman"/>
        </w:rPr>
        <w:t xml:space="preserve"> </w:t>
      </w:r>
      <w:r w:rsidRPr="00C947BB">
        <w:rPr>
          <w:rFonts w:ascii="Times New Roman" w:hAnsi="Times New Roman"/>
          <w:i/>
        </w:rPr>
        <w:t xml:space="preserve">Transilvania anului 1773 în percepţia împăratului Iosif al II-lea </w:t>
      </w:r>
      <w:r w:rsidRPr="00C947BB">
        <w:rPr>
          <w:rFonts w:ascii="Times New Roman" w:hAnsi="Times New Roman"/>
        </w:rPr>
        <w:t>[La Transilvania dell’a</w:t>
      </w:r>
      <w:r>
        <w:rPr>
          <w:rFonts w:ascii="Times New Roman" w:hAnsi="Times New Roman"/>
        </w:rPr>
        <w:t>nno 1773 nella percezione dell’I</w:t>
      </w:r>
      <w:r w:rsidRPr="00C947BB">
        <w:rPr>
          <w:rFonts w:ascii="Times New Roman" w:hAnsi="Times New Roman"/>
        </w:rPr>
        <w:t>mperatore Giuseppe II],</w:t>
      </w:r>
      <w:r>
        <w:rPr>
          <w:rFonts w:ascii="Times New Roman" w:hAnsi="Times New Roman"/>
        </w:rPr>
        <w:t xml:space="preserve"> alle</w:t>
      </w:r>
      <w:r w:rsidRPr="00C947BB">
        <w:rPr>
          <w:rFonts w:ascii="Times New Roman" w:hAnsi="Times New Roman"/>
        </w:rPr>
        <w:t xml:space="preserve"> pp. 9-118</w:t>
      </w:r>
      <w:r w:rsidRPr="003855C1">
        <w:rPr>
          <w:rFonts w:ascii="Times New Roman" w:hAnsi="Times New Roman"/>
        </w:rPr>
        <w:t>.</w:t>
      </w:r>
    </w:p>
  </w:footnote>
  <w:footnote w:id="14">
    <w:p w14:paraId="7F3CA529" w14:textId="77777777" w:rsidR="00591B49" w:rsidRPr="00805462" w:rsidRDefault="00591B49" w:rsidP="006D6265">
      <w:pPr>
        <w:pStyle w:val="Testonotaapidipagina"/>
        <w:ind w:right="510"/>
        <w:jc w:val="both"/>
        <w:rPr>
          <w:rFonts w:ascii="Times New Roman" w:hAnsi="Times New Roman"/>
          <w:lang w:val="en-US"/>
        </w:rPr>
      </w:pPr>
      <w:r w:rsidRPr="00C947BB">
        <w:rPr>
          <w:rStyle w:val="Rimandonotaapidipagina"/>
          <w:rFonts w:ascii="Times New Roman" w:hAnsi="Times New Roman"/>
        </w:rPr>
        <w:footnoteRef/>
      </w:r>
      <w:r w:rsidRPr="00C947BB">
        <w:rPr>
          <w:rFonts w:ascii="Times New Roman" w:hAnsi="Times New Roman"/>
        </w:rPr>
        <w:t xml:space="preserve"> Alla rivolta di Horea-Cloşca seguì la promulgazione</w:t>
      </w:r>
      <w:r>
        <w:rPr>
          <w:rFonts w:ascii="Times New Roman" w:hAnsi="Times New Roman"/>
        </w:rPr>
        <w:t>,</w:t>
      </w:r>
      <w:r w:rsidRPr="00C947BB">
        <w:rPr>
          <w:rFonts w:ascii="Times New Roman" w:hAnsi="Times New Roman"/>
        </w:rPr>
        <w:t xml:space="preserve"> nel 1791</w:t>
      </w:r>
      <w:r>
        <w:rPr>
          <w:rFonts w:ascii="Times New Roman" w:hAnsi="Times New Roman"/>
        </w:rPr>
        <w:t>,</w:t>
      </w:r>
      <w:r w:rsidRPr="00C947BB">
        <w:rPr>
          <w:rFonts w:ascii="Times New Roman" w:hAnsi="Times New Roman"/>
        </w:rPr>
        <w:t xml:space="preserve"> del </w:t>
      </w:r>
      <w:r w:rsidRPr="00C947BB">
        <w:rPr>
          <w:rFonts w:ascii="Times New Roman" w:hAnsi="Times New Roman"/>
          <w:i/>
        </w:rPr>
        <w:t>Supplex Libellus Walachorum</w:t>
      </w:r>
      <w:r w:rsidRPr="00C947BB">
        <w:rPr>
          <w:rFonts w:ascii="Times New Roman" w:hAnsi="Times New Roman"/>
        </w:rPr>
        <w:t>, nel quale per la prima volta i romeni di</w:t>
      </w:r>
      <w:r>
        <w:rPr>
          <w:rFonts w:ascii="Times New Roman" w:hAnsi="Times New Roman"/>
        </w:rPr>
        <w:t xml:space="preserve"> Transilvania si candidavano a </w:t>
      </w:r>
      <w:r w:rsidRPr="00805462">
        <w:rPr>
          <w:rFonts w:ascii="Times New Roman" w:hAnsi="Times New Roman"/>
          <w:i/>
        </w:rPr>
        <w:t>natio</w:t>
      </w:r>
      <w:r w:rsidRPr="00C947BB">
        <w:rPr>
          <w:rFonts w:ascii="Times New Roman" w:hAnsi="Times New Roman"/>
        </w:rPr>
        <w:t xml:space="preserve"> politica accanto a</w:t>
      </w:r>
      <w:r>
        <w:rPr>
          <w:rFonts w:ascii="Times New Roman" w:hAnsi="Times New Roman"/>
        </w:rPr>
        <w:t>d</w:t>
      </w:r>
      <w:r w:rsidRPr="00C947BB">
        <w:rPr>
          <w:rFonts w:ascii="Times New Roman" w:hAnsi="Times New Roman"/>
        </w:rPr>
        <w:t xml:space="preserve"> ungheresi, sassoni e secleri.</w:t>
      </w:r>
      <w:r>
        <w:rPr>
          <w:rFonts w:ascii="Times New Roman" w:hAnsi="Times New Roman"/>
        </w:rPr>
        <w:t xml:space="preserve"> </w:t>
      </w:r>
      <w:r w:rsidRPr="00805462">
        <w:rPr>
          <w:rFonts w:ascii="Times New Roman" w:hAnsi="Times New Roman"/>
          <w:lang w:val="en-US"/>
        </w:rPr>
        <w:t xml:space="preserve">Cfr. David Prodan, </w:t>
      </w:r>
      <w:r w:rsidRPr="00805462">
        <w:rPr>
          <w:rFonts w:ascii="Times New Roman" w:hAnsi="Times New Roman"/>
          <w:i/>
          <w:lang w:val="en-US"/>
        </w:rPr>
        <w:t>Supplex Libellus Valachorum or the political Struggle of the Romanians in Transylvania during the 18</w:t>
      </w:r>
      <w:r w:rsidRPr="00805462">
        <w:rPr>
          <w:rFonts w:ascii="Times New Roman" w:hAnsi="Times New Roman"/>
          <w:i/>
          <w:vertAlign w:val="superscript"/>
          <w:lang w:val="en-US"/>
        </w:rPr>
        <w:t>th</w:t>
      </w:r>
      <w:r w:rsidRPr="00805462">
        <w:rPr>
          <w:rFonts w:ascii="Times New Roman" w:hAnsi="Times New Roman"/>
          <w:i/>
          <w:lang w:val="en-US"/>
        </w:rPr>
        <w:t xml:space="preserve"> Century</w:t>
      </w:r>
      <w:r w:rsidRPr="00805462">
        <w:rPr>
          <w:rFonts w:ascii="Times New Roman" w:hAnsi="Times New Roman"/>
          <w:lang w:val="en-US"/>
        </w:rPr>
        <w:t>, Publishing House of the Academy of the Socialist Republic of Romania, Bucureşti 1971</w:t>
      </w:r>
      <w:r>
        <w:rPr>
          <w:rFonts w:ascii="Times New Roman" w:hAnsi="Times New Roman"/>
          <w:lang w:val="en-US"/>
        </w:rPr>
        <w:t>,</w:t>
      </w:r>
      <w:r w:rsidRPr="00805462">
        <w:rPr>
          <w:rFonts w:ascii="Times New Roman" w:hAnsi="Times New Roman"/>
          <w:lang w:val="en-US"/>
        </w:rPr>
        <w:t xml:space="preserve"> pp. 7-</w:t>
      </w:r>
      <w:r>
        <w:rPr>
          <w:rFonts w:ascii="Times New Roman" w:hAnsi="Times New Roman"/>
          <w:lang w:val="en-US"/>
        </w:rPr>
        <w:t>20, 443-466.</w:t>
      </w:r>
    </w:p>
  </w:footnote>
  <w:footnote w:id="15">
    <w:p w14:paraId="54991F2A" w14:textId="77777777" w:rsidR="00591B49" w:rsidRPr="005E0560" w:rsidRDefault="00591B49" w:rsidP="006D6265">
      <w:pPr>
        <w:pStyle w:val="Testonotaapidipagina"/>
        <w:ind w:right="567"/>
        <w:jc w:val="both"/>
        <w:rPr>
          <w:rFonts w:ascii="Times New Roman" w:hAnsi="Times New Roman"/>
          <w:lang w:val="en-US"/>
        </w:rPr>
      </w:pPr>
      <w:r w:rsidRPr="00C947BB">
        <w:rPr>
          <w:rStyle w:val="Rimandonotaapidipagina"/>
          <w:rFonts w:ascii="Times New Roman" w:hAnsi="Times New Roman"/>
        </w:rPr>
        <w:footnoteRef/>
      </w:r>
      <w:r>
        <w:rPr>
          <w:rFonts w:ascii="Times New Roman" w:hAnsi="Times New Roman"/>
          <w:lang w:val="en-US"/>
        </w:rPr>
        <w:t xml:space="preserve"> In Robert J.</w:t>
      </w:r>
      <w:r w:rsidRPr="00C947BB">
        <w:rPr>
          <w:rFonts w:ascii="Times New Roman" w:hAnsi="Times New Roman"/>
          <w:lang w:val="en-US"/>
        </w:rPr>
        <w:t xml:space="preserve">W. Evans, </w:t>
      </w:r>
      <w:r w:rsidRPr="00C947BB">
        <w:rPr>
          <w:rFonts w:ascii="Times New Roman" w:hAnsi="Times New Roman"/>
          <w:i/>
          <w:lang w:val="en-US"/>
        </w:rPr>
        <w:t xml:space="preserve">Austria, Hungary, and the Habsburgs. </w:t>
      </w:r>
      <w:r w:rsidRPr="005E0560">
        <w:rPr>
          <w:rFonts w:ascii="Times New Roman" w:hAnsi="Times New Roman"/>
          <w:i/>
          <w:lang w:val="en-US"/>
        </w:rPr>
        <w:t>Central Europe c. 1683-1867</w:t>
      </w:r>
      <w:r w:rsidRPr="005E0560">
        <w:rPr>
          <w:rFonts w:ascii="Times New Roman" w:hAnsi="Times New Roman"/>
          <w:lang w:val="en-US"/>
        </w:rPr>
        <w:t>, Oxford University Press, Oxford-New York 2006,</w:t>
      </w:r>
      <w:r>
        <w:rPr>
          <w:rFonts w:ascii="Times New Roman" w:hAnsi="Times New Roman"/>
          <w:lang w:val="en-US"/>
        </w:rPr>
        <w:t xml:space="preserve"> vedi</w:t>
      </w:r>
      <w:r w:rsidRPr="005E0560">
        <w:rPr>
          <w:rFonts w:ascii="Times New Roman" w:hAnsi="Times New Roman"/>
          <w:lang w:val="en-US"/>
        </w:rPr>
        <w:t xml:space="preserve"> il capitolo 8, </w:t>
      </w:r>
      <w:r w:rsidRPr="00C947BB">
        <w:rPr>
          <w:rFonts w:ascii="Times New Roman" w:hAnsi="Times New Roman"/>
          <w:i/>
          <w:lang w:val="en-US"/>
        </w:rPr>
        <w:t>Joseph II and Nationality in the Habsburg Lands</w:t>
      </w:r>
      <w:r>
        <w:rPr>
          <w:rFonts w:ascii="Times New Roman" w:hAnsi="Times New Roman"/>
          <w:lang w:val="en-US"/>
        </w:rPr>
        <w:t>, e in particolare p</w:t>
      </w:r>
      <w:r w:rsidRPr="005E0560">
        <w:rPr>
          <w:rFonts w:ascii="Times New Roman" w:hAnsi="Times New Roman"/>
          <w:lang w:val="en-US"/>
        </w:rPr>
        <w:t>. 136.</w:t>
      </w:r>
    </w:p>
  </w:footnote>
  <w:footnote w:id="16">
    <w:p w14:paraId="114D5F1C" w14:textId="33823F70" w:rsidR="00591B49" w:rsidRPr="00C947BB" w:rsidRDefault="00591B49" w:rsidP="006D6265">
      <w:pPr>
        <w:pStyle w:val="Testonotaapidipagina"/>
        <w:ind w:right="567"/>
        <w:jc w:val="both"/>
        <w:rPr>
          <w:rFonts w:ascii="Times New Roman" w:hAnsi="Times New Roman"/>
        </w:rPr>
      </w:pPr>
      <w:r w:rsidRPr="00C947BB">
        <w:rPr>
          <w:rStyle w:val="Rimandonotaapidipagina"/>
          <w:rFonts w:ascii="Times New Roman" w:hAnsi="Times New Roman"/>
        </w:rPr>
        <w:footnoteRef/>
      </w:r>
      <w:r w:rsidRPr="00C947BB">
        <w:rPr>
          <w:rFonts w:ascii="Times New Roman" w:hAnsi="Times New Roman"/>
        </w:rPr>
        <w:t xml:space="preserve"> Nella Dieta del 1790-</w:t>
      </w:r>
      <w:r>
        <w:rPr>
          <w:rFonts w:ascii="Times New Roman" w:hAnsi="Times New Roman"/>
        </w:rPr>
        <w:t>17</w:t>
      </w:r>
      <w:r w:rsidRPr="00C947BB">
        <w:rPr>
          <w:rFonts w:ascii="Times New Roman" w:hAnsi="Times New Roman"/>
        </w:rPr>
        <w:t>91 furono promulgate</w:t>
      </w:r>
      <w:r w:rsidR="0090251E">
        <w:rPr>
          <w:rFonts w:ascii="Times New Roman" w:hAnsi="Times New Roman"/>
        </w:rPr>
        <w:t xml:space="preserve"> le leggi</w:t>
      </w:r>
      <w:r w:rsidR="00CF0157">
        <w:rPr>
          <w:rFonts w:ascii="Times New Roman" w:hAnsi="Times New Roman"/>
        </w:rPr>
        <w:t xml:space="preserve"> che</w:t>
      </w:r>
      <w:r w:rsidRPr="00C947BB">
        <w:rPr>
          <w:rFonts w:ascii="Times New Roman" w:hAnsi="Times New Roman"/>
        </w:rPr>
        <w:t xml:space="preserve"> restituirono la sovranità locale alla nobiltà ungherese dopo il burrascoso perio</w:t>
      </w:r>
      <w:r>
        <w:rPr>
          <w:rFonts w:ascii="Times New Roman" w:hAnsi="Times New Roman"/>
        </w:rPr>
        <w:t xml:space="preserve">do giuseppino. La Legge X/1790, </w:t>
      </w:r>
      <w:r w:rsidRPr="005B207E">
        <w:rPr>
          <w:rFonts w:ascii="Times New Roman" w:hAnsi="Times New Roman"/>
          <w:i/>
        </w:rPr>
        <w:t>De independentia regni hungarici</w:t>
      </w:r>
      <w:r>
        <w:rPr>
          <w:rFonts w:ascii="Times New Roman" w:hAnsi="Times New Roman"/>
        </w:rPr>
        <w:t>,</w:t>
      </w:r>
      <w:r w:rsidRPr="00C947BB">
        <w:rPr>
          <w:rFonts w:ascii="Times New Roman" w:hAnsi="Times New Roman"/>
        </w:rPr>
        <w:t xml:space="preserve"> venne considerata dai patrioti del secolo successivo una sorta di manifesto dell’emancipazione nazionale. Più importante ai fini del riconoscimento dell’autonomia formale ungherese fu</w:t>
      </w:r>
      <w:r>
        <w:rPr>
          <w:rFonts w:ascii="Times New Roman" w:hAnsi="Times New Roman"/>
        </w:rPr>
        <w:t xml:space="preserve"> invece</w:t>
      </w:r>
      <w:r w:rsidRPr="00C947BB">
        <w:rPr>
          <w:rFonts w:ascii="Times New Roman" w:hAnsi="Times New Roman"/>
        </w:rPr>
        <w:t xml:space="preserve"> la</w:t>
      </w:r>
      <w:r>
        <w:rPr>
          <w:rFonts w:ascii="Times New Roman" w:hAnsi="Times New Roman"/>
        </w:rPr>
        <w:t xml:space="preserve"> legge</w:t>
      </w:r>
      <w:r w:rsidRPr="00C947BB">
        <w:rPr>
          <w:rFonts w:ascii="Times New Roman" w:hAnsi="Times New Roman"/>
        </w:rPr>
        <w:t xml:space="preserve"> X/1791,</w:t>
      </w:r>
      <w:r>
        <w:rPr>
          <w:rFonts w:ascii="Times New Roman" w:hAnsi="Times New Roman"/>
        </w:rPr>
        <w:t xml:space="preserve"> che</w:t>
      </w:r>
      <w:r w:rsidRPr="00C947BB">
        <w:rPr>
          <w:rFonts w:ascii="Times New Roman" w:hAnsi="Times New Roman"/>
        </w:rPr>
        <w:t xml:space="preserve"> ribadiva il diritto del</w:t>
      </w:r>
      <w:r>
        <w:rPr>
          <w:rFonts w:ascii="Times New Roman" w:hAnsi="Times New Roman"/>
        </w:rPr>
        <w:t>l’Ungheria ad essere governata «</w:t>
      </w:r>
      <w:r w:rsidRPr="00C947BB">
        <w:rPr>
          <w:rFonts w:ascii="Times New Roman" w:hAnsi="Times New Roman"/>
        </w:rPr>
        <w:t>seguendo le sue leggi e costumi</w:t>
      </w:r>
      <w:r>
        <w:rPr>
          <w:rFonts w:ascii="Times New Roman" w:hAnsi="Times New Roman"/>
        </w:rPr>
        <w:t xml:space="preserve"> e non quelli di altre province»</w:t>
      </w:r>
      <w:r w:rsidRPr="00C947BB">
        <w:rPr>
          <w:rFonts w:ascii="Times New Roman" w:hAnsi="Times New Roman"/>
        </w:rPr>
        <w:t>.</w:t>
      </w:r>
      <w:r>
        <w:rPr>
          <w:rFonts w:ascii="Times New Roman" w:hAnsi="Times New Roman"/>
        </w:rPr>
        <w:t xml:space="preserve"> Cfr.</w:t>
      </w:r>
      <w:r w:rsidRPr="00C947BB">
        <w:rPr>
          <w:rFonts w:ascii="Times New Roman" w:hAnsi="Times New Roman"/>
        </w:rPr>
        <w:t xml:space="preserve"> Louis Eisenmann, </w:t>
      </w:r>
      <w:r w:rsidRPr="00C947BB">
        <w:rPr>
          <w:rFonts w:ascii="Times New Roman" w:hAnsi="Times New Roman"/>
          <w:i/>
        </w:rPr>
        <w:t>Le Co</w:t>
      </w:r>
      <w:r>
        <w:rPr>
          <w:rFonts w:ascii="Times New Roman" w:hAnsi="Times New Roman"/>
          <w:i/>
        </w:rPr>
        <w:t>mpromis austro-hongrois de 1867:</w:t>
      </w:r>
      <w:r w:rsidRPr="00C947BB">
        <w:rPr>
          <w:rFonts w:ascii="Times New Roman" w:hAnsi="Times New Roman"/>
          <w:i/>
        </w:rPr>
        <w:t xml:space="preserve"> étude sur le Dualisme</w:t>
      </w:r>
      <w:r w:rsidRPr="00C947BB">
        <w:rPr>
          <w:rFonts w:ascii="Times New Roman" w:hAnsi="Times New Roman"/>
        </w:rPr>
        <w:t>,</w:t>
      </w:r>
      <w:r w:rsidRPr="005B207E">
        <w:rPr>
          <w:rFonts w:ascii="Times New Roman" w:hAnsi="Times New Roman"/>
        </w:rPr>
        <w:t xml:space="preserve"> </w:t>
      </w:r>
      <w:r>
        <w:rPr>
          <w:rFonts w:ascii="Times New Roman" w:eastAsia="Arial Unicode MS" w:hAnsi="Times New Roman"/>
          <w:shd w:val="clear" w:color="auto" w:fill="FFFFFF"/>
        </w:rPr>
        <w:t>Societé Nouvelle de Librairie et d’</w:t>
      </w:r>
      <w:r w:rsidRPr="005B207E">
        <w:rPr>
          <w:rFonts w:ascii="Times New Roman" w:eastAsia="Arial Unicode MS" w:hAnsi="Times New Roman"/>
          <w:shd w:val="clear" w:color="auto" w:fill="FFFFFF"/>
        </w:rPr>
        <w:t>Edition,</w:t>
      </w:r>
      <w:r>
        <w:rPr>
          <w:rFonts w:ascii="Times New Roman" w:hAnsi="Times New Roman"/>
        </w:rPr>
        <w:t xml:space="preserve"> Paris 1904, nuova edizione delle Éditions</w:t>
      </w:r>
      <w:r w:rsidRPr="00C947BB">
        <w:rPr>
          <w:rFonts w:ascii="Times New Roman" w:hAnsi="Times New Roman"/>
        </w:rPr>
        <w:t xml:space="preserve"> Cujas, Par</w:t>
      </w:r>
      <w:r>
        <w:rPr>
          <w:rFonts w:ascii="Times New Roman" w:hAnsi="Times New Roman"/>
        </w:rPr>
        <w:t>is 1968,</w:t>
      </w:r>
      <w:r w:rsidRPr="00C947BB">
        <w:rPr>
          <w:rFonts w:ascii="Times New Roman" w:hAnsi="Times New Roman"/>
        </w:rPr>
        <w:t xml:space="preserve"> pp. 1-71. Sui lavori delle Diete del XVIII secolo</w:t>
      </w:r>
      <w:r>
        <w:rPr>
          <w:rFonts w:ascii="Times New Roman" w:hAnsi="Times New Roman"/>
        </w:rPr>
        <w:t>,</w:t>
      </w:r>
      <w:r w:rsidRPr="00C947BB">
        <w:rPr>
          <w:rFonts w:ascii="Times New Roman" w:hAnsi="Times New Roman"/>
        </w:rPr>
        <w:t xml:space="preserve"> si veda</w:t>
      </w:r>
      <w:r>
        <w:rPr>
          <w:rFonts w:ascii="Times New Roman" w:hAnsi="Times New Roman"/>
        </w:rPr>
        <w:t xml:space="preserve"> invece</w:t>
      </w:r>
      <w:r w:rsidRPr="00C947BB">
        <w:rPr>
          <w:rFonts w:ascii="Times New Roman" w:hAnsi="Times New Roman"/>
        </w:rPr>
        <w:t xml:space="preserve"> István M. Szijártó, </w:t>
      </w:r>
      <w:r w:rsidRPr="00C947BB">
        <w:rPr>
          <w:rFonts w:ascii="Times New Roman" w:hAnsi="Times New Roman"/>
          <w:i/>
        </w:rPr>
        <w:t>A 18. századi Magyarország rendi országgyűlése</w:t>
      </w:r>
      <w:r w:rsidRPr="00C947BB">
        <w:rPr>
          <w:rFonts w:ascii="Times New Roman" w:hAnsi="Times New Roman"/>
        </w:rPr>
        <w:t xml:space="preserve"> [L’assemblea degli Ordini nell’Ungheria del diciottesimo secolo], Országgyűlés hivatala/Országház</w:t>
      </w:r>
      <w:r>
        <w:rPr>
          <w:rFonts w:ascii="Times New Roman" w:hAnsi="Times New Roman"/>
        </w:rPr>
        <w:t>a kiadó</w:t>
      </w:r>
      <w:r w:rsidRPr="00C947BB">
        <w:rPr>
          <w:rFonts w:ascii="Times New Roman" w:hAnsi="Times New Roman"/>
        </w:rPr>
        <w:t>, Bu</w:t>
      </w:r>
      <w:r>
        <w:rPr>
          <w:rFonts w:ascii="Times New Roman" w:hAnsi="Times New Roman"/>
        </w:rPr>
        <w:t>dapest 2016, p</w:t>
      </w:r>
      <w:r w:rsidRPr="00C947BB">
        <w:rPr>
          <w:rFonts w:ascii="Times New Roman" w:hAnsi="Times New Roman"/>
        </w:rPr>
        <w:t>. 230.</w:t>
      </w:r>
    </w:p>
  </w:footnote>
  <w:footnote w:id="17">
    <w:p w14:paraId="60466845" w14:textId="77777777" w:rsidR="00591B49" w:rsidRPr="00C947BB" w:rsidRDefault="00591B49" w:rsidP="006D6265">
      <w:pPr>
        <w:pStyle w:val="Testonotaapidipagina"/>
        <w:ind w:right="567"/>
        <w:jc w:val="both"/>
        <w:rPr>
          <w:rFonts w:ascii="Times New Roman" w:hAnsi="Times New Roman"/>
        </w:rPr>
      </w:pPr>
      <w:r w:rsidRPr="00C947BB">
        <w:rPr>
          <w:rStyle w:val="Rimandonotaapidipagina"/>
          <w:rFonts w:ascii="Times New Roman" w:hAnsi="Times New Roman"/>
        </w:rPr>
        <w:footnoteRef/>
      </w:r>
      <w:r w:rsidRPr="00C947BB">
        <w:rPr>
          <w:rFonts w:ascii="Times New Roman" w:hAnsi="Times New Roman"/>
        </w:rPr>
        <w:t xml:space="preserve"> Sulle</w:t>
      </w:r>
      <w:r>
        <w:rPr>
          <w:rFonts w:ascii="Times New Roman" w:hAnsi="Times New Roman"/>
        </w:rPr>
        <w:t xml:space="preserve"> relazioni politiche f</w:t>
      </w:r>
      <w:r w:rsidRPr="00C947BB">
        <w:rPr>
          <w:rFonts w:ascii="Times New Roman" w:hAnsi="Times New Roman"/>
        </w:rPr>
        <w:t>ra Napoleone e gli ungheresi</w:t>
      </w:r>
      <w:r>
        <w:rPr>
          <w:rFonts w:ascii="Times New Roman" w:hAnsi="Times New Roman"/>
        </w:rPr>
        <w:t>,</w:t>
      </w:r>
      <w:r w:rsidRPr="00C947BB">
        <w:rPr>
          <w:rFonts w:ascii="Times New Roman" w:hAnsi="Times New Roman"/>
        </w:rPr>
        <w:t xml:space="preserve"> il punto di riferimento è rappresentato dalla monografia di Domokos Kosári, </w:t>
      </w:r>
      <w:r w:rsidRPr="00C947BB">
        <w:rPr>
          <w:rFonts w:ascii="Times New Roman" w:hAnsi="Times New Roman"/>
          <w:i/>
        </w:rPr>
        <w:t>Napóleon és Magyarország</w:t>
      </w:r>
      <w:r w:rsidRPr="00C947BB">
        <w:rPr>
          <w:rFonts w:ascii="Times New Roman" w:hAnsi="Times New Roman"/>
        </w:rPr>
        <w:t xml:space="preserve"> [Napoleone e l’Ungheria], Akadémiai kiadó, Budapest 1977. Gli aspetti militari sono</w:t>
      </w:r>
      <w:r>
        <w:rPr>
          <w:rFonts w:ascii="Times New Roman" w:hAnsi="Times New Roman"/>
        </w:rPr>
        <w:t xml:space="preserve"> invece</w:t>
      </w:r>
      <w:r w:rsidRPr="00C947BB">
        <w:rPr>
          <w:rFonts w:ascii="Times New Roman" w:hAnsi="Times New Roman"/>
        </w:rPr>
        <w:t xml:space="preserve"> affrontati da Csaba Veress, </w:t>
      </w:r>
      <w:r w:rsidRPr="00C947BB">
        <w:rPr>
          <w:rFonts w:ascii="Times New Roman" w:hAnsi="Times New Roman"/>
          <w:i/>
        </w:rPr>
        <w:t>Napóleon hadai Magyarországon 1809</w:t>
      </w:r>
      <w:r>
        <w:rPr>
          <w:rFonts w:ascii="Times New Roman" w:hAnsi="Times New Roman"/>
        </w:rPr>
        <w:t xml:space="preserve"> [L</w:t>
      </w:r>
      <w:r w:rsidRPr="00C947BB">
        <w:rPr>
          <w:rFonts w:ascii="Times New Roman" w:hAnsi="Times New Roman"/>
        </w:rPr>
        <w:t>e operazioni militari di Napoleone in Ungheria</w:t>
      </w:r>
      <w:r>
        <w:rPr>
          <w:rFonts w:ascii="Times New Roman" w:hAnsi="Times New Roman"/>
        </w:rPr>
        <w:t>,</w:t>
      </w:r>
      <w:r w:rsidRPr="00C947BB">
        <w:rPr>
          <w:rFonts w:ascii="Times New Roman" w:hAnsi="Times New Roman"/>
        </w:rPr>
        <w:t xml:space="preserve"> 1809], Zrínyi kiadó, Budapest 1987.</w:t>
      </w:r>
    </w:p>
  </w:footnote>
  <w:footnote w:id="18">
    <w:p w14:paraId="081B1AA0" w14:textId="77777777" w:rsidR="00591B49" w:rsidRPr="00C947BB" w:rsidRDefault="00591B49" w:rsidP="006D6265">
      <w:pPr>
        <w:pStyle w:val="Testonotaapidipagina"/>
        <w:ind w:right="567"/>
        <w:jc w:val="both"/>
        <w:rPr>
          <w:rFonts w:ascii="Times New Roman" w:hAnsi="Times New Roman"/>
          <w:lang w:val="en-US"/>
        </w:rPr>
      </w:pPr>
      <w:r w:rsidRPr="00C947BB">
        <w:rPr>
          <w:rStyle w:val="Rimandonotaapidipagina"/>
          <w:rFonts w:ascii="Times New Roman" w:hAnsi="Times New Roman"/>
        </w:rPr>
        <w:footnoteRef/>
      </w:r>
      <w:r w:rsidRPr="00C947BB">
        <w:rPr>
          <w:rFonts w:ascii="Times New Roman" w:hAnsi="Times New Roman"/>
        </w:rPr>
        <w:t xml:space="preserve"> La rivolta anti-bavarese e</w:t>
      </w:r>
      <w:r>
        <w:rPr>
          <w:rFonts w:ascii="Times New Roman" w:hAnsi="Times New Roman"/>
        </w:rPr>
        <w:t>d</w:t>
      </w:r>
      <w:r w:rsidRPr="00C947BB">
        <w:rPr>
          <w:rFonts w:ascii="Times New Roman" w:hAnsi="Times New Roman"/>
        </w:rPr>
        <w:t xml:space="preserve"> anti-napoleonica di Andreas Hofer assurse a manifesto dell’identità tedesca nel Tirolo, soprattutto nel 1909, quando fu celebrato il centenario dell’evento (</w:t>
      </w:r>
      <w:r w:rsidRPr="00C947BB">
        <w:rPr>
          <w:rFonts w:ascii="Times New Roman" w:hAnsi="Times New Roman"/>
          <w:i/>
        </w:rPr>
        <w:t>Jahrhundertfeier</w:t>
      </w:r>
      <w:r w:rsidRPr="00C947BB">
        <w:rPr>
          <w:rFonts w:ascii="Times New Roman" w:hAnsi="Times New Roman"/>
        </w:rPr>
        <w:t>). I nazional-liberali austriaci vollero con quella celebrazione ribadire l’appartenenza al mondo germanico in contrapposizione alle ambizioni irre</w:t>
      </w:r>
      <w:r>
        <w:rPr>
          <w:rFonts w:ascii="Times New Roman" w:hAnsi="Times New Roman"/>
        </w:rPr>
        <w:t>dentistiche degli italiani nel S</w:t>
      </w:r>
      <w:r w:rsidRPr="00C947BB">
        <w:rPr>
          <w:rFonts w:ascii="Times New Roman" w:hAnsi="Times New Roman"/>
        </w:rPr>
        <w:t>ud-Tirolo (Trentino).</w:t>
      </w:r>
      <w:r>
        <w:rPr>
          <w:rFonts w:ascii="Times New Roman" w:hAnsi="Times New Roman"/>
        </w:rPr>
        <w:t xml:space="preserve"> </w:t>
      </w:r>
      <w:r w:rsidRPr="00850E1D">
        <w:rPr>
          <w:rFonts w:ascii="Times New Roman" w:hAnsi="Times New Roman"/>
          <w:lang w:val="en-US"/>
        </w:rPr>
        <w:t xml:space="preserve">Vedi Laurence Cole, </w:t>
      </w:r>
      <w:r w:rsidRPr="00850E1D">
        <w:rPr>
          <w:rFonts w:ascii="Times New Roman" w:hAnsi="Times New Roman"/>
          <w:i/>
          <w:lang w:val="en-US"/>
        </w:rPr>
        <w:t>Patriotic Celebrations in Late-Nineteenth-and Early-Twentieth-Century Tirol</w:t>
      </w:r>
      <w:r>
        <w:rPr>
          <w:rFonts w:ascii="Times New Roman" w:hAnsi="Times New Roman"/>
          <w:lang w:val="en-US"/>
        </w:rPr>
        <w:t xml:space="preserve">, in </w:t>
      </w:r>
      <w:r w:rsidRPr="00850E1D">
        <w:rPr>
          <w:rFonts w:ascii="Times New Roman" w:hAnsi="Times New Roman"/>
          <w:i/>
          <w:lang w:val="en-US"/>
        </w:rPr>
        <w:t xml:space="preserve">Staging the Past. </w:t>
      </w:r>
      <w:r w:rsidRPr="00C947BB">
        <w:rPr>
          <w:rFonts w:ascii="Times New Roman" w:hAnsi="Times New Roman"/>
          <w:i/>
          <w:lang w:val="en-US"/>
        </w:rPr>
        <w:t>The Politics of Commemoration in Habsburg Central Europe, 1848 to the Present</w:t>
      </w:r>
      <w:r w:rsidRPr="00C947BB">
        <w:rPr>
          <w:rFonts w:ascii="Times New Roman" w:hAnsi="Times New Roman"/>
          <w:lang w:val="en-US"/>
        </w:rPr>
        <w:t>,</w:t>
      </w:r>
      <w:r>
        <w:rPr>
          <w:rFonts w:ascii="Times New Roman" w:hAnsi="Times New Roman"/>
          <w:lang w:val="en-US"/>
        </w:rPr>
        <w:t xml:space="preserve"> a cura di Maria Bucur e</w:t>
      </w:r>
      <w:r w:rsidRPr="00850E1D">
        <w:rPr>
          <w:rFonts w:ascii="Times New Roman" w:hAnsi="Times New Roman"/>
          <w:lang w:val="en-US"/>
        </w:rPr>
        <w:t xml:space="preserve"> Nancy M. Wingfield,</w:t>
      </w:r>
      <w:r w:rsidRPr="00C947BB">
        <w:rPr>
          <w:rFonts w:ascii="Times New Roman" w:hAnsi="Times New Roman"/>
          <w:lang w:val="en-US"/>
        </w:rPr>
        <w:t xml:space="preserve"> Purdue Unive</w:t>
      </w:r>
      <w:r>
        <w:rPr>
          <w:rFonts w:ascii="Times New Roman" w:hAnsi="Times New Roman"/>
          <w:lang w:val="en-US"/>
        </w:rPr>
        <w:t xml:space="preserve">rsity Press, West </w:t>
      </w:r>
      <w:r w:rsidRPr="00C947BB">
        <w:rPr>
          <w:rFonts w:ascii="Times New Roman" w:hAnsi="Times New Roman"/>
          <w:lang w:val="en-US"/>
        </w:rPr>
        <w:t>Lafay</w:t>
      </w:r>
      <w:r>
        <w:rPr>
          <w:rFonts w:ascii="Times New Roman" w:hAnsi="Times New Roman"/>
          <w:lang w:val="en-US"/>
        </w:rPr>
        <w:t>ette (Indiana) 2001, pp. 75-111, in particolare p</w:t>
      </w:r>
      <w:r w:rsidRPr="00C947BB">
        <w:rPr>
          <w:rFonts w:ascii="Times New Roman" w:hAnsi="Times New Roman"/>
          <w:lang w:val="en-US"/>
        </w:rPr>
        <w:t>. 98.</w:t>
      </w:r>
    </w:p>
  </w:footnote>
  <w:footnote w:id="19">
    <w:p w14:paraId="27439CFE" w14:textId="60773B9C" w:rsidR="00591B49" w:rsidRPr="00D568A6" w:rsidRDefault="00591B49" w:rsidP="00E80991">
      <w:pPr>
        <w:pStyle w:val="Testonotaapidipagina"/>
        <w:ind w:right="567"/>
        <w:jc w:val="both"/>
        <w:rPr>
          <w:rFonts w:ascii="Times New Roman" w:hAnsi="Times New Roman"/>
        </w:rPr>
      </w:pPr>
      <w:r>
        <w:rPr>
          <w:rStyle w:val="Rimandonotaapidipagina"/>
        </w:rPr>
        <w:footnoteRef/>
      </w:r>
      <w:r w:rsidRPr="00E80991">
        <w:rPr>
          <w:lang w:val="en-US"/>
        </w:rPr>
        <w:t xml:space="preserve"> </w:t>
      </w:r>
      <w:r w:rsidRPr="00E80991">
        <w:rPr>
          <w:rFonts w:ascii="Times New Roman" w:hAnsi="Times New Roman"/>
          <w:lang w:val="en-US"/>
        </w:rPr>
        <w:t>Sulla formazione di gruppi dirigenti e obiettivi politici nazionali</w:t>
      </w:r>
      <w:r>
        <w:rPr>
          <w:rFonts w:ascii="Times New Roman" w:hAnsi="Times New Roman"/>
          <w:lang w:val="en-US"/>
        </w:rPr>
        <w:t xml:space="preserve"> v.</w:t>
      </w:r>
      <w:r w:rsidRPr="00E80991">
        <w:rPr>
          <w:rFonts w:ascii="Times New Roman" w:hAnsi="Times New Roman"/>
          <w:lang w:val="en-US"/>
        </w:rPr>
        <w:t xml:space="preserve"> Emil Niederhauser, </w:t>
      </w:r>
      <w:r w:rsidRPr="00E80991">
        <w:rPr>
          <w:rFonts w:ascii="Times New Roman" w:hAnsi="Times New Roman"/>
          <w:i/>
          <w:lang w:val="en-US"/>
        </w:rPr>
        <w:t>The Rise of Nationality in Eastern Europe</w:t>
      </w:r>
      <w:r w:rsidRPr="00E80991">
        <w:rPr>
          <w:rFonts w:ascii="Times New Roman" w:hAnsi="Times New Roman"/>
          <w:lang w:val="en-US"/>
        </w:rPr>
        <w:t xml:space="preserve">, </w:t>
      </w:r>
      <w:r w:rsidRPr="006964F6">
        <w:rPr>
          <w:rFonts w:ascii="Times New Roman" w:hAnsi="Times New Roman"/>
          <w:lang w:val="en-US"/>
        </w:rPr>
        <w:t>Corvina Kiadó</w:t>
      </w:r>
      <w:r>
        <w:rPr>
          <w:rFonts w:ascii="Times New Roman" w:hAnsi="Times New Roman"/>
          <w:lang w:val="en-US"/>
        </w:rPr>
        <w:t xml:space="preserve">, </w:t>
      </w:r>
      <w:r w:rsidRPr="006964F6">
        <w:rPr>
          <w:rFonts w:ascii="Times New Roman" w:hAnsi="Times New Roman"/>
          <w:lang w:val="en-US"/>
        </w:rPr>
        <w:t>Budapest</w:t>
      </w:r>
      <w:r w:rsidRPr="00E80991">
        <w:rPr>
          <w:rFonts w:ascii="Times New Roman" w:hAnsi="Times New Roman"/>
          <w:lang w:val="en-US"/>
        </w:rPr>
        <w:t xml:space="preserve"> 1982; Józef Chlebowczyk,</w:t>
      </w:r>
      <w:r>
        <w:rPr>
          <w:rFonts w:ascii="Times New Roman" w:hAnsi="Times New Roman"/>
          <w:lang w:val="en-US"/>
        </w:rPr>
        <w:t xml:space="preserve"> </w:t>
      </w:r>
      <w:r w:rsidRPr="00E80991">
        <w:rPr>
          <w:rFonts w:ascii="Times New Roman" w:hAnsi="Times New Roman"/>
          <w:i/>
          <w:lang w:val="en-US"/>
        </w:rPr>
        <w:t>On Small and Young Nations in Europe: Nation-Forming Processes in Ethnic Borderlands in East-Central Europe</w:t>
      </w:r>
      <w:r>
        <w:rPr>
          <w:rFonts w:ascii="Times New Roman" w:hAnsi="Times New Roman"/>
          <w:lang w:val="en-US"/>
        </w:rPr>
        <w:t xml:space="preserve">, Polish Historical Library, Vol. </w:t>
      </w:r>
      <w:r w:rsidRPr="00D568A6">
        <w:rPr>
          <w:rFonts w:ascii="Times New Roman" w:hAnsi="Times New Roman"/>
        </w:rPr>
        <w:t>I, Ossolineum, Wroc</w:t>
      </w:r>
      <w:r w:rsidRPr="00D568A6">
        <w:rPr>
          <w:rFonts w:ascii="Arial Narrow" w:hAnsi="Arial Narrow"/>
        </w:rPr>
        <w:t>ł</w:t>
      </w:r>
      <w:r w:rsidRPr="00D568A6">
        <w:rPr>
          <w:rFonts w:ascii="Times New Roman" w:hAnsi="Times New Roman"/>
        </w:rPr>
        <w:t xml:space="preserve">aw 1980.     </w:t>
      </w:r>
    </w:p>
  </w:footnote>
  <w:footnote w:id="20">
    <w:p w14:paraId="1452806B" w14:textId="4F874AEA" w:rsidR="00BA12DE" w:rsidRPr="00257950" w:rsidRDefault="00591B49" w:rsidP="00BA12DE">
      <w:pPr>
        <w:pStyle w:val="Testonotaapidipagina"/>
        <w:ind w:right="567"/>
        <w:jc w:val="both"/>
        <w:rPr>
          <w:rStyle w:val="Rimandonotaapidipagina"/>
          <w:lang w:val="en-US"/>
        </w:rPr>
      </w:pPr>
      <w:r>
        <w:rPr>
          <w:rStyle w:val="Rimandonotaapidipagina"/>
        </w:rPr>
        <w:footnoteRef/>
      </w:r>
      <w:r w:rsidRPr="005823A9">
        <w:t xml:space="preserve"> </w:t>
      </w:r>
      <w:r w:rsidRPr="00ED2D77">
        <w:rPr>
          <w:rFonts w:ascii="Times New Roman" w:hAnsi="Times New Roman"/>
        </w:rPr>
        <w:t xml:space="preserve">Detta anche il Commonwealth polacco-lituano. In proposito </w:t>
      </w:r>
      <w:r w:rsidRPr="00ED2D77">
        <w:rPr>
          <w:rFonts w:ascii="Times New Roman" w:hAnsi="Times New Roman"/>
          <w:shd w:val="clear" w:color="auto" w:fill="FFFFFF"/>
        </w:rPr>
        <w:t>Daniel Z. Stone. </w:t>
      </w:r>
      <w:r w:rsidRPr="00ED2D77">
        <w:rPr>
          <w:rFonts w:ascii="Times New Roman" w:hAnsi="Times New Roman"/>
          <w:i/>
          <w:iCs/>
          <w:shd w:val="clear" w:color="auto" w:fill="FFFFFF"/>
          <w:lang w:val="en-US"/>
        </w:rPr>
        <w:t>The Polish-Lithuanian State, 1386–1795</w:t>
      </w:r>
      <w:r w:rsidRPr="00ED2D77">
        <w:rPr>
          <w:rFonts w:ascii="Times New Roman" w:hAnsi="Times New Roman"/>
          <w:shd w:val="clear" w:color="auto" w:fill="FFFFFF"/>
          <w:lang w:val="en-US"/>
        </w:rPr>
        <w:t>, </w:t>
      </w:r>
      <w:hyperlink r:id="rId1" w:tooltip="University of Washington Press" w:history="1">
        <w:r w:rsidRPr="00ED2D77">
          <w:rPr>
            <w:rStyle w:val="Collegamentoipertestuale"/>
            <w:rFonts w:ascii="Times New Roman" w:hAnsi="Times New Roman"/>
            <w:color w:val="auto"/>
            <w:u w:val="none"/>
            <w:shd w:val="clear" w:color="auto" w:fill="FFFFFF"/>
            <w:lang w:val="en-US"/>
          </w:rPr>
          <w:t>University of Washington Press</w:t>
        </w:r>
      </w:hyperlink>
      <w:r w:rsidRPr="00ED2D77">
        <w:rPr>
          <w:rFonts w:ascii="Times New Roman" w:hAnsi="Times New Roman"/>
          <w:shd w:val="clear" w:color="auto" w:fill="FFFFFF"/>
          <w:lang w:val="en-US"/>
        </w:rPr>
        <w:t xml:space="preserve">, Seattle 2014; inoltre Richard Butterwick (a cura di), </w:t>
      </w:r>
      <w:r w:rsidRPr="00ED2D77">
        <w:rPr>
          <w:rFonts w:ascii="Times New Roman" w:hAnsi="Times New Roman"/>
          <w:i/>
          <w:shd w:val="clear" w:color="auto" w:fill="FFFFFF"/>
          <w:lang w:val="en-US"/>
        </w:rPr>
        <w:t>The Polish-Lithuanian Monarchy in European Context, c.1500-1795</w:t>
      </w:r>
      <w:r w:rsidRPr="00ED2D77">
        <w:rPr>
          <w:rFonts w:ascii="Times New Roman" w:hAnsi="Times New Roman"/>
          <w:shd w:val="clear" w:color="auto" w:fill="FFFFFF"/>
          <w:lang w:val="en-US"/>
        </w:rPr>
        <w:t xml:space="preserve">, Palgrave McMillan, Basingstoke 2001. </w:t>
      </w:r>
      <w:r w:rsidR="00FA1692" w:rsidRPr="00ED2D77">
        <w:rPr>
          <w:rFonts w:ascii="Times New Roman" w:hAnsi="Times New Roman"/>
          <w:shd w:val="clear" w:color="auto" w:fill="FFFFFF"/>
          <w:lang w:val="en-US"/>
        </w:rPr>
        <w:t xml:space="preserve">Sugli ucraini di Galizia Ivan L. Rudnytsky, </w:t>
      </w:r>
      <w:r w:rsidR="00FA1692" w:rsidRPr="00ED2D77">
        <w:rPr>
          <w:rFonts w:ascii="Times New Roman" w:hAnsi="Times New Roman"/>
          <w:i/>
          <w:shd w:val="clear" w:color="auto" w:fill="FFFFFF"/>
          <w:lang w:val="en-US"/>
        </w:rPr>
        <w:t>The Ucrainians in Galicia under Austrian Rule</w:t>
      </w:r>
      <w:r w:rsidR="00FA1692" w:rsidRPr="00ED2D77">
        <w:rPr>
          <w:rFonts w:ascii="Times New Roman" w:hAnsi="Times New Roman"/>
          <w:shd w:val="clear" w:color="auto" w:fill="FFFFFF"/>
          <w:lang w:val="en-US"/>
        </w:rPr>
        <w:t>, in</w:t>
      </w:r>
      <w:r w:rsidR="00BA12DE" w:rsidRPr="00ED2D77">
        <w:rPr>
          <w:rFonts w:ascii="Times New Roman" w:hAnsi="Times New Roman"/>
          <w:shd w:val="clear" w:color="auto" w:fill="FFFFFF"/>
          <w:lang w:val="en-US"/>
        </w:rPr>
        <w:t xml:space="preserve"> </w:t>
      </w:r>
      <w:r w:rsidR="00BA12DE" w:rsidRPr="00ED2D77">
        <w:rPr>
          <w:rFonts w:ascii="Times New Roman" w:hAnsi="Times New Roman"/>
          <w:lang w:val="en-US"/>
        </w:rPr>
        <w:t xml:space="preserve">Andrei S. Markovits, Frank E. Sysyn, </w:t>
      </w:r>
      <w:r w:rsidR="00BA12DE" w:rsidRPr="00ED2D77">
        <w:rPr>
          <w:rFonts w:ascii="Times New Roman" w:hAnsi="Times New Roman"/>
          <w:i/>
          <w:lang w:val="en-US"/>
        </w:rPr>
        <w:t>Nationbuilding and the Politics of Nationalism. Essays on Austrian Galicia</w:t>
      </w:r>
      <w:r w:rsidR="00BA12DE" w:rsidRPr="00ED2D77">
        <w:rPr>
          <w:rFonts w:ascii="Times New Roman" w:hAnsi="Times New Roman"/>
          <w:lang w:val="en-US"/>
        </w:rPr>
        <w:t>, Harvard University</w:t>
      </w:r>
      <w:r w:rsidR="00135B0D" w:rsidRPr="00ED2D77">
        <w:rPr>
          <w:rFonts w:ascii="Times New Roman" w:hAnsi="Times New Roman"/>
          <w:lang w:val="en-US"/>
        </w:rPr>
        <w:t xml:space="preserve"> Press, New York 1982, pp. 23-67</w:t>
      </w:r>
      <w:r w:rsidR="00BA12DE" w:rsidRPr="00ED2D77">
        <w:rPr>
          <w:rFonts w:ascii="Times New Roman" w:hAnsi="Times New Roman"/>
          <w:lang w:val="en-US"/>
        </w:rPr>
        <w:t>.</w:t>
      </w:r>
      <w:r w:rsidR="00BA12DE">
        <w:rPr>
          <w:rFonts w:ascii="Times New Roman" w:hAnsi="Times New Roman"/>
          <w:lang w:val="en-US"/>
        </w:rPr>
        <w:t xml:space="preserve"> </w:t>
      </w:r>
      <w:r w:rsidR="00BA12DE" w:rsidRPr="00257950">
        <w:rPr>
          <w:rFonts w:ascii="Times New Roman" w:hAnsi="Times New Roman"/>
          <w:lang w:val="en-US"/>
        </w:rPr>
        <w:t xml:space="preserve"> </w:t>
      </w:r>
      <w:r w:rsidR="00BA12DE" w:rsidRPr="00257950">
        <w:rPr>
          <w:rStyle w:val="Rimandonotaapidipagina"/>
          <w:lang w:val="en-US"/>
        </w:rPr>
        <w:t xml:space="preserve"> </w:t>
      </w:r>
    </w:p>
    <w:p w14:paraId="1C5E8418" w14:textId="5CF3E985" w:rsidR="00591B49" w:rsidRPr="00BA12DE" w:rsidRDefault="00591B49" w:rsidP="005823A9">
      <w:pPr>
        <w:pStyle w:val="Testonotaapidipagina"/>
        <w:ind w:right="567"/>
        <w:jc w:val="both"/>
        <w:rPr>
          <w:rFonts w:ascii="Times New Roman" w:hAnsi="Times New Roman"/>
          <w:lang w:val="en-US"/>
        </w:rPr>
      </w:pPr>
      <w:r w:rsidRPr="00BA12DE">
        <w:rPr>
          <w:rFonts w:ascii="Times New Roman" w:hAnsi="Times New Roman"/>
          <w:sz w:val="21"/>
          <w:szCs w:val="21"/>
          <w:shd w:val="clear" w:color="auto" w:fill="FFFFFF"/>
          <w:lang w:val="en-US"/>
        </w:rPr>
        <w:t xml:space="preserve">  </w:t>
      </w:r>
    </w:p>
  </w:footnote>
  <w:footnote w:id="21">
    <w:p w14:paraId="2A91F8BC" w14:textId="35B1AE4F" w:rsidR="00591B49" w:rsidRPr="004C6ECE" w:rsidRDefault="00591B49" w:rsidP="004E1311">
      <w:pPr>
        <w:pStyle w:val="Testonotaapidipagina"/>
        <w:ind w:right="567"/>
        <w:jc w:val="both"/>
        <w:rPr>
          <w:rFonts w:ascii="Times New Roman" w:hAnsi="Times New Roman"/>
          <w:lang w:val="en-US"/>
        </w:rPr>
      </w:pPr>
      <w:r>
        <w:rPr>
          <w:rStyle w:val="Rimandonotaapidipagina"/>
        </w:rPr>
        <w:footnoteRef/>
      </w:r>
      <w:r>
        <w:t xml:space="preserve"> </w:t>
      </w:r>
      <w:r w:rsidRPr="003662B2">
        <w:rPr>
          <w:rFonts w:ascii="Times New Roman" w:hAnsi="Times New Roman"/>
        </w:rPr>
        <w:t xml:space="preserve">La nozione di ‘livellamento’, raramente applicata </w:t>
      </w:r>
      <w:r>
        <w:rPr>
          <w:rFonts w:ascii="Times New Roman" w:hAnsi="Times New Roman"/>
        </w:rPr>
        <w:t xml:space="preserve">al centralismo burocratico di età giuseppina, viene usata per dare enfasi alla risposta da parte ceca: una moderata opposizione, frutto della convergenza di interessi fra i nobili, notevolmente presenti nei ‘piani alti’ dell’apparato statale asburgico dal tempo di Maria Teresa, e la borghesia nazionale in rapida ascesa. </w:t>
      </w:r>
      <w:r>
        <w:rPr>
          <w:rFonts w:ascii="Times New Roman" w:hAnsi="Times New Roman"/>
          <w:lang w:val="en-US"/>
        </w:rPr>
        <w:t>Robert J.</w:t>
      </w:r>
      <w:r w:rsidRPr="00C947BB">
        <w:rPr>
          <w:rFonts w:ascii="Times New Roman" w:hAnsi="Times New Roman"/>
          <w:lang w:val="en-US"/>
        </w:rPr>
        <w:t xml:space="preserve">W. Evans, </w:t>
      </w:r>
      <w:r w:rsidRPr="00C947BB">
        <w:rPr>
          <w:rFonts w:ascii="Times New Roman" w:hAnsi="Times New Roman"/>
          <w:i/>
          <w:lang w:val="en-US"/>
        </w:rPr>
        <w:t xml:space="preserve">Austria, Hungary, and the Habsburgs. </w:t>
      </w:r>
      <w:r w:rsidRPr="004C6ECE">
        <w:rPr>
          <w:rFonts w:ascii="Times New Roman" w:hAnsi="Times New Roman"/>
          <w:i/>
          <w:lang w:val="en-US"/>
        </w:rPr>
        <w:t>Central Europe c. 1683-1867</w:t>
      </w:r>
      <w:r w:rsidRPr="004C6ECE">
        <w:rPr>
          <w:rFonts w:ascii="Times New Roman" w:hAnsi="Times New Roman"/>
          <w:lang w:val="en-US"/>
        </w:rPr>
        <w:t xml:space="preserve">, Oxford University Press, Oxford-New York 2006, vedi il capitolo 6, </w:t>
      </w:r>
      <w:r w:rsidRPr="004C6ECE">
        <w:rPr>
          <w:rFonts w:ascii="Times New Roman" w:hAnsi="Times New Roman"/>
          <w:i/>
          <w:lang w:val="en-US"/>
        </w:rPr>
        <w:t>Nationality in East-Central Europe: Perception and Definition before 1848</w:t>
      </w:r>
      <w:r w:rsidRPr="004C6ECE">
        <w:rPr>
          <w:rFonts w:ascii="Times New Roman" w:hAnsi="Times New Roman"/>
          <w:lang w:val="en-US"/>
        </w:rPr>
        <w:t>, pp.</w:t>
      </w:r>
      <w:r>
        <w:rPr>
          <w:rFonts w:ascii="Times New Roman" w:hAnsi="Times New Roman"/>
          <w:lang w:val="en-US"/>
        </w:rPr>
        <w:t>101-113,</w:t>
      </w:r>
      <w:r w:rsidRPr="004C6ECE">
        <w:rPr>
          <w:rFonts w:ascii="Times New Roman" w:hAnsi="Times New Roman"/>
          <w:i/>
          <w:lang w:val="en-US"/>
        </w:rPr>
        <w:t xml:space="preserve"> </w:t>
      </w:r>
      <w:r w:rsidRPr="004C6ECE">
        <w:rPr>
          <w:rFonts w:ascii="Times New Roman" w:hAnsi="Times New Roman"/>
          <w:lang w:val="en-US"/>
        </w:rPr>
        <w:t>in particolare p. 106.</w:t>
      </w:r>
    </w:p>
  </w:footnote>
  <w:footnote w:id="22">
    <w:p w14:paraId="79A92093" w14:textId="5B99137E" w:rsidR="00591B49" w:rsidRPr="00CF2936" w:rsidRDefault="00591B49" w:rsidP="0066048F">
      <w:pPr>
        <w:pStyle w:val="Testonotaapidipagina"/>
        <w:ind w:right="567"/>
        <w:jc w:val="both"/>
        <w:rPr>
          <w:rFonts w:ascii="Times New Roman" w:hAnsi="Times New Roman"/>
          <w:lang w:val="en-US"/>
        </w:rPr>
      </w:pPr>
      <w:r>
        <w:rPr>
          <w:rStyle w:val="Rimandonotaapidipagina"/>
        </w:rPr>
        <w:footnoteRef/>
      </w:r>
      <w:r w:rsidRPr="00F7232F">
        <w:t xml:space="preserve"> </w:t>
      </w:r>
      <w:r>
        <w:rPr>
          <w:rFonts w:ascii="Times New Roman" w:hAnsi="Times New Roman"/>
        </w:rPr>
        <w:t xml:space="preserve">Tra tutti </w:t>
      </w:r>
      <w:r w:rsidRPr="00CF2936">
        <w:rPr>
          <w:rFonts w:ascii="Times New Roman" w:hAnsi="Times New Roman"/>
        </w:rPr>
        <w:t xml:space="preserve">il conte István Széchenyi, che l’agiografia nazionale magiara definì ‘il più grande degli ungheresi’. </w:t>
      </w:r>
      <w:r w:rsidRPr="00244F32">
        <w:rPr>
          <w:rFonts w:ascii="Times New Roman" w:hAnsi="Times New Roman"/>
          <w:lang w:val="en-US"/>
        </w:rPr>
        <w:t>Gábor Ve</w:t>
      </w:r>
      <w:r w:rsidRPr="00CF2936">
        <w:rPr>
          <w:rFonts w:ascii="Times New Roman" w:hAnsi="Times New Roman"/>
          <w:lang w:val="en-US"/>
        </w:rPr>
        <w:t xml:space="preserve">rmes, </w:t>
      </w:r>
      <w:r w:rsidRPr="00CF2936">
        <w:rPr>
          <w:rFonts w:ascii="Times New Roman" w:hAnsi="Times New Roman"/>
          <w:i/>
          <w:lang w:val="en-US"/>
        </w:rPr>
        <w:t>Hungarian Culture and Politics in the Habsburg Monarchy 1711-1848</w:t>
      </w:r>
      <w:r w:rsidRPr="00CF2936">
        <w:rPr>
          <w:rFonts w:ascii="Times New Roman" w:hAnsi="Times New Roman"/>
          <w:lang w:val="en-US"/>
        </w:rPr>
        <w:t xml:space="preserve">, Central European University Press, Budapest-New York 2014, </w:t>
      </w:r>
      <w:r>
        <w:rPr>
          <w:rFonts w:ascii="Times New Roman" w:hAnsi="Times New Roman"/>
          <w:lang w:val="en-US"/>
        </w:rPr>
        <w:t>c</w:t>
      </w:r>
      <w:r w:rsidRPr="00CF2936">
        <w:rPr>
          <w:rFonts w:ascii="Times New Roman" w:hAnsi="Times New Roman"/>
          <w:lang w:val="en-US"/>
        </w:rPr>
        <w:t xml:space="preserve">ap. VI, </w:t>
      </w:r>
      <w:r w:rsidRPr="00CF2936">
        <w:rPr>
          <w:rFonts w:ascii="Times New Roman" w:hAnsi="Times New Roman"/>
          <w:i/>
          <w:lang w:val="en-US"/>
        </w:rPr>
        <w:t>The Hungarian Age of Reform in the 1830s</w:t>
      </w:r>
      <w:r w:rsidRPr="00CF2936">
        <w:rPr>
          <w:rFonts w:ascii="Times New Roman" w:hAnsi="Times New Roman"/>
          <w:lang w:val="en-US"/>
        </w:rPr>
        <w:t>, pp. 247-260.</w:t>
      </w:r>
    </w:p>
  </w:footnote>
  <w:footnote w:id="23">
    <w:p w14:paraId="3DE8B35D" w14:textId="473BD73E" w:rsidR="00591B49" w:rsidRPr="006F603F" w:rsidRDefault="00591B49" w:rsidP="0066048F">
      <w:pPr>
        <w:pStyle w:val="Testonotaapidipagina"/>
        <w:ind w:right="567"/>
        <w:jc w:val="both"/>
        <w:rPr>
          <w:rFonts w:ascii="Times New Roman" w:hAnsi="Times New Roman"/>
        </w:rPr>
      </w:pPr>
      <w:r>
        <w:rPr>
          <w:rStyle w:val="Rimandonotaapidipagina"/>
        </w:rPr>
        <w:footnoteRef/>
      </w:r>
      <w:r w:rsidRPr="0066048F">
        <w:t xml:space="preserve"> </w:t>
      </w:r>
      <w:r w:rsidRPr="0066048F">
        <w:rPr>
          <w:rFonts w:ascii="Times New Roman" w:hAnsi="Times New Roman"/>
        </w:rPr>
        <w:t xml:space="preserve">Fra i centralisti si ritrovarono illustri personalità dell’età ungherese delle riforme, </w:t>
      </w:r>
      <w:r w:rsidR="001F74C0">
        <w:rPr>
          <w:rFonts w:ascii="Times New Roman" w:hAnsi="Times New Roman"/>
        </w:rPr>
        <w:t>tra cui due celebri ministri del Culto e della Pubblica istruzione,</w:t>
      </w:r>
      <w:r w:rsidRPr="0066048F">
        <w:rPr>
          <w:rFonts w:ascii="Times New Roman" w:hAnsi="Times New Roman"/>
        </w:rPr>
        <w:t xml:space="preserve"> József Eötvö</w:t>
      </w:r>
      <w:r>
        <w:rPr>
          <w:rFonts w:ascii="Times New Roman" w:hAnsi="Times New Roman"/>
        </w:rPr>
        <w:t>s</w:t>
      </w:r>
      <w:r w:rsidRPr="0066048F">
        <w:rPr>
          <w:rFonts w:ascii="Times New Roman" w:hAnsi="Times New Roman"/>
        </w:rPr>
        <w:t xml:space="preserve"> </w:t>
      </w:r>
      <w:r w:rsidR="001F74C0">
        <w:rPr>
          <w:rFonts w:ascii="Times New Roman" w:hAnsi="Times New Roman"/>
        </w:rPr>
        <w:t>e</w:t>
      </w:r>
      <w:r w:rsidRPr="0066048F">
        <w:rPr>
          <w:rFonts w:ascii="Times New Roman" w:hAnsi="Times New Roman"/>
        </w:rPr>
        <w:t xml:space="preserve"> Ágoston Tréfort</w:t>
      </w:r>
      <w:r>
        <w:rPr>
          <w:rFonts w:ascii="Times New Roman" w:hAnsi="Times New Roman"/>
        </w:rPr>
        <w:t>.</w:t>
      </w:r>
      <w:r>
        <w:t xml:space="preserve"> </w:t>
      </w:r>
      <w:r w:rsidRPr="006F603F">
        <w:rPr>
          <w:rFonts w:ascii="Times New Roman" w:hAnsi="Times New Roman"/>
        </w:rPr>
        <w:t xml:space="preserve">Sul pensiero e le attività dei centralisti si diffonde Miklós Mann, in </w:t>
      </w:r>
      <w:r w:rsidRPr="002A3CCD">
        <w:rPr>
          <w:rFonts w:ascii="Times New Roman" w:hAnsi="Times New Roman"/>
          <w:i/>
        </w:rPr>
        <w:t>Tréfort Ágoston a reformkorban</w:t>
      </w:r>
      <w:r w:rsidRPr="006F603F">
        <w:rPr>
          <w:rFonts w:ascii="Times New Roman" w:hAnsi="Times New Roman"/>
        </w:rPr>
        <w:t xml:space="preserve"> [A. Tr</w:t>
      </w:r>
      <w:r>
        <w:rPr>
          <w:rFonts w:ascii="Times New Roman" w:hAnsi="Times New Roman"/>
        </w:rPr>
        <w:t>éfort nell'età delle riforme], “Századok”</w:t>
      </w:r>
      <w:r w:rsidRPr="006F603F">
        <w:rPr>
          <w:rFonts w:ascii="Times New Roman" w:hAnsi="Times New Roman"/>
        </w:rPr>
        <w:t xml:space="preserve"> [Saecula], 19</w:t>
      </w:r>
      <w:r>
        <w:rPr>
          <w:rFonts w:ascii="Times New Roman" w:hAnsi="Times New Roman"/>
        </w:rPr>
        <w:t xml:space="preserve">74/4, pp. 1111-1131; </w:t>
      </w:r>
      <w:r w:rsidRPr="006F603F">
        <w:rPr>
          <w:rFonts w:ascii="Times New Roman" w:hAnsi="Times New Roman"/>
        </w:rPr>
        <w:t xml:space="preserve">più ampiamente in </w:t>
      </w:r>
      <w:r w:rsidRPr="006F603F">
        <w:rPr>
          <w:rFonts w:ascii="Times New Roman" w:hAnsi="Times New Roman"/>
          <w:i/>
        </w:rPr>
        <w:t>Tréfort Ágoston élete és működése</w:t>
      </w:r>
      <w:r w:rsidRPr="006F603F">
        <w:rPr>
          <w:rFonts w:ascii="Times New Roman" w:hAnsi="Times New Roman"/>
        </w:rPr>
        <w:t xml:space="preserve"> [Vita e opera di A. Tréfort], Akadémiai Kiadó, Budapest 1982. </w:t>
      </w:r>
    </w:p>
  </w:footnote>
  <w:footnote w:id="24">
    <w:p w14:paraId="12D933C2" w14:textId="16C13C48" w:rsidR="00591B49" w:rsidRPr="00C947BB" w:rsidRDefault="00591B49" w:rsidP="006D6265">
      <w:pPr>
        <w:pStyle w:val="Testonotaapidipagina"/>
        <w:ind w:right="567"/>
        <w:jc w:val="both"/>
        <w:rPr>
          <w:rStyle w:val="Rimandonotaapidipagina"/>
          <w:rFonts w:ascii="Times New Roman" w:hAnsi="Times New Roman"/>
        </w:rPr>
      </w:pPr>
      <w:r w:rsidRPr="00C947BB">
        <w:rPr>
          <w:rStyle w:val="Rimandonotaapidipagina"/>
          <w:rFonts w:ascii="Times New Roman" w:hAnsi="Times New Roman"/>
        </w:rPr>
        <w:footnoteRef/>
      </w:r>
      <w:r w:rsidRPr="005823A9">
        <w:rPr>
          <w:rFonts w:ascii="Times New Roman" w:hAnsi="Times New Roman"/>
        </w:rPr>
        <w:t xml:space="preserve"> Si veda Pál Sándor (a cura di), </w:t>
      </w:r>
      <w:r w:rsidRPr="005823A9">
        <w:rPr>
          <w:rFonts w:ascii="Times New Roman" w:hAnsi="Times New Roman"/>
          <w:i/>
        </w:rPr>
        <w:t>Deák Ferenc kiadatlan leveleiből</w:t>
      </w:r>
      <w:r w:rsidRPr="005823A9">
        <w:rPr>
          <w:rFonts w:ascii="Times New Roman" w:hAnsi="Times New Roman"/>
        </w:rPr>
        <w:t xml:space="preserve"> [Lettere inedite di F. Deák], Magyar Történelmi Társulat, Budapest 1992; nella stessa raccolta, F. Deák </w:t>
      </w:r>
      <w:r w:rsidRPr="005823A9">
        <w:rPr>
          <w:rFonts w:ascii="Times New Roman" w:hAnsi="Times New Roman"/>
          <w:i/>
        </w:rPr>
        <w:t>Zsoldos Ignáchoz, Pest, január 10.1843.</w:t>
      </w:r>
      <w:r w:rsidRPr="005823A9">
        <w:rPr>
          <w:rFonts w:ascii="Times New Roman" w:hAnsi="Times New Roman"/>
        </w:rPr>
        <w:t xml:space="preserve"> </w:t>
      </w:r>
      <w:r w:rsidRPr="009A0919">
        <w:rPr>
          <w:rFonts w:ascii="Times New Roman" w:hAnsi="Times New Roman"/>
        </w:rPr>
        <w:t>[A Ignác Zsoldos (giurista e politico, 1803-1855) Pest, 10 gennaio 1843], pp. 74</w:t>
      </w:r>
      <w:r>
        <w:rPr>
          <w:rFonts w:ascii="Times New Roman" w:hAnsi="Times New Roman"/>
        </w:rPr>
        <w:t>-81, specie p</w:t>
      </w:r>
      <w:r w:rsidRPr="00C947BB">
        <w:rPr>
          <w:rFonts w:ascii="Times New Roman" w:hAnsi="Times New Roman"/>
        </w:rPr>
        <w:t>. 80.</w:t>
      </w:r>
    </w:p>
  </w:footnote>
  <w:footnote w:id="25">
    <w:p w14:paraId="31A365D4" w14:textId="4EDF12EC" w:rsidR="00591B49" w:rsidRPr="00462DC4" w:rsidRDefault="00591B49" w:rsidP="007D06EB">
      <w:pPr>
        <w:pStyle w:val="Testonotaapidipagina"/>
        <w:ind w:right="567"/>
        <w:jc w:val="both"/>
        <w:rPr>
          <w:rFonts w:ascii="Times New Roman" w:hAnsi="Times New Roman"/>
        </w:rPr>
      </w:pPr>
      <w:r w:rsidRPr="007D06EB">
        <w:rPr>
          <w:rStyle w:val="Rimandonotaapidipagina"/>
          <w:rFonts w:ascii="Times New Roman" w:hAnsi="Times New Roman"/>
        </w:rPr>
        <w:footnoteRef/>
      </w:r>
      <w:r w:rsidRPr="007D06EB">
        <w:rPr>
          <w:rFonts w:ascii="Times New Roman" w:hAnsi="Times New Roman"/>
        </w:rPr>
        <w:t xml:space="preserve"> Nel </w:t>
      </w:r>
      <w:r>
        <w:rPr>
          <w:rFonts w:ascii="Times New Roman" w:hAnsi="Times New Roman"/>
        </w:rPr>
        <w:t xml:space="preserve">marzo </w:t>
      </w:r>
      <w:r w:rsidRPr="007D06EB">
        <w:rPr>
          <w:rFonts w:ascii="Times New Roman" w:hAnsi="Times New Roman"/>
        </w:rPr>
        <w:t>1848 la sede della Dieta ungherese era ancora Pozsony (</w:t>
      </w:r>
      <w:r w:rsidRPr="009F20A5">
        <w:rPr>
          <w:rFonts w:ascii="Times New Roman" w:hAnsi="Times New Roman"/>
          <w:i/>
        </w:rPr>
        <w:t>Pressburg</w:t>
      </w:r>
      <w:r>
        <w:rPr>
          <w:rFonts w:ascii="Times New Roman" w:hAnsi="Times New Roman"/>
        </w:rPr>
        <w:t xml:space="preserve">, </w:t>
      </w:r>
      <w:r w:rsidRPr="007D06EB">
        <w:rPr>
          <w:rFonts w:ascii="Times New Roman" w:hAnsi="Times New Roman"/>
          <w:i/>
        </w:rPr>
        <w:t>Bratislava</w:t>
      </w:r>
      <w:r>
        <w:rPr>
          <w:rFonts w:ascii="Times New Roman" w:hAnsi="Times New Roman"/>
        </w:rPr>
        <w:t>), città sul Danubio più vicina a Vienna, capitale del regno per gran parte del XVIII secolo</w:t>
      </w:r>
      <w:r w:rsidRPr="00A8101B">
        <w:rPr>
          <w:rFonts w:ascii="Times New Roman" w:hAnsi="Times New Roman"/>
        </w:rPr>
        <w:t>.</w:t>
      </w:r>
      <w:r>
        <w:rPr>
          <w:rFonts w:ascii="Times New Roman" w:hAnsi="Times New Roman"/>
        </w:rPr>
        <w:t xml:space="preserve"> </w:t>
      </w:r>
      <w:r w:rsidRPr="00E83187">
        <w:rPr>
          <w:rFonts w:ascii="Times New Roman" w:hAnsi="Times New Roman"/>
        </w:rPr>
        <w:t xml:space="preserve">István Hajnal, </w:t>
      </w:r>
      <w:r w:rsidRPr="00E83187">
        <w:rPr>
          <w:rFonts w:ascii="Times New Roman" w:hAnsi="Times New Roman"/>
          <w:i/>
        </w:rPr>
        <w:t>Arndt magyar utazása 1798-ban</w:t>
      </w:r>
      <w:r w:rsidRPr="00E83187">
        <w:rPr>
          <w:rFonts w:ascii="Times New Roman" w:hAnsi="Times New Roman"/>
        </w:rPr>
        <w:t xml:space="preserve">, </w:t>
      </w:r>
      <w:r>
        <w:rPr>
          <w:rFonts w:ascii="Arial Narrow" w:hAnsi="Arial Narrow"/>
        </w:rPr>
        <w:t>[</w:t>
      </w:r>
      <w:r>
        <w:rPr>
          <w:rFonts w:ascii="Times New Roman" w:hAnsi="Times New Roman"/>
        </w:rPr>
        <w:t>Il viaggio di Arndt in Ungheria nel 1798</w:t>
      </w:r>
      <w:r>
        <w:rPr>
          <w:rFonts w:ascii="Arial Narrow" w:hAnsi="Arial Narrow"/>
        </w:rPr>
        <w:t>]</w:t>
      </w:r>
      <w:r>
        <w:rPr>
          <w:rFonts w:ascii="Times New Roman" w:hAnsi="Times New Roman"/>
        </w:rPr>
        <w:t xml:space="preserve">, </w:t>
      </w:r>
      <w:r w:rsidRPr="00E83187">
        <w:rPr>
          <w:rFonts w:ascii="Times New Roman" w:hAnsi="Times New Roman"/>
        </w:rPr>
        <w:t xml:space="preserve">in «Magyar Szemle» </w:t>
      </w:r>
      <w:r>
        <w:rPr>
          <w:rFonts w:ascii="Arial Narrow" w:hAnsi="Arial Narrow"/>
        </w:rPr>
        <w:t>[</w:t>
      </w:r>
      <w:r>
        <w:rPr>
          <w:rFonts w:ascii="Times New Roman" w:hAnsi="Times New Roman"/>
        </w:rPr>
        <w:t>Rivista Ungherese</w:t>
      </w:r>
      <w:r>
        <w:rPr>
          <w:rFonts w:ascii="Arial Narrow" w:hAnsi="Arial Narrow"/>
        </w:rPr>
        <w:t>]</w:t>
      </w:r>
      <w:r>
        <w:rPr>
          <w:rFonts w:ascii="Times New Roman" w:hAnsi="Times New Roman"/>
        </w:rPr>
        <w:t xml:space="preserve">, </w:t>
      </w:r>
      <w:r w:rsidRPr="00E83187">
        <w:rPr>
          <w:rFonts w:ascii="Times New Roman" w:hAnsi="Times New Roman"/>
        </w:rPr>
        <w:t>I, n. 4 (1927), pag. 429.</w:t>
      </w:r>
      <w:r>
        <w:rPr>
          <w:rFonts w:ascii="Times New Roman" w:hAnsi="Times New Roman"/>
        </w:rPr>
        <w:t xml:space="preserve"> </w:t>
      </w:r>
      <w:r w:rsidRPr="007D06EB">
        <w:rPr>
          <w:rFonts w:ascii="Times New Roman" w:hAnsi="Times New Roman"/>
        </w:rPr>
        <w:t xml:space="preserve"> Il nuovo Parlament</w:t>
      </w:r>
      <w:r>
        <w:rPr>
          <w:rFonts w:ascii="Times New Roman" w:hAnsi="Times New Roman"/>
        </w:rPr>
        <w:t>o nazionale si trasferì a Pest, scelta</w:t>
      </w:r>
      <w:r w:rsidRPr="007D06EB">
        <w:rPr>
          <w:rFonts w:ascii="Times New Roman" w:hAnsi="Times New Roman"/>
        </w:rPr>
        <w:t xml:space="preserve"> per essere la </w:t>
      </w:r>
      <w:r>
        <w:rPr>
          <w:rFonts w:ascii="Times New Roman" w:hAnsi="Times New Roman"/>
        </w:rPr>
        <w:t>futura capitale del regno d’Ungh</w:t>
      </w:r>
      <w:r w:rsidRPr="007D06EB">
        <w:rPr>
          <w:rFonts w:ascii="Times New Roman" w:hAnsi="Times New Roman"/>
        </w:rPr>
        <w:t>eria</w:t>
      </w:r>
      <w:r>
        <w:rPr>
          <w:rFonts w:ascii="Times New Roman" w:hAnsi="Times New Roman"/>
        </w:rPr>
        <w:t xml:space="preserve">. La città venne unita agli antichi borghi di Buda e </w:t>
      </w:r>
      <w:r w:rsidRPr="0052022C">
        <w:rPr>
          <w:rFonts w:ascii="Times New Roman" w:hAnsi="Times New Roman"/>
        </w:rPr>
        <w:t>Óbuda</w:t>
      </w:r>
      <w:r>
        <w:rPr>
          <w:rFonts w:ascii="Times New Roman" w:hAnsi="Times New Roman"/>
        </w:rPr>
        <w:t xml:space="preserve"> e ribattezzata</w:t>
      </w:r>
      <w:r w:rsidRPr="007D06EB">
        <w:rPr>
          <w:rFonts w:ascii="Times New Roman" w:hAnsi="Times New Roman"/>
        </w:rPr>
        <w:t xml:space="preserve"> Budapest</w:t>
      </w:r>
      <w:r>
        <w:rPr>
          <w:rFonts w:ascii="Times New Roman" w:hAnsi="Times New Roman"/>
        </w:rPr>
        <w:t xml:space="preserve"> soltanto nel 1873, allorché fu creato il distretto amministrativo della capitale,</w:t>
      </w:r>
      <w:r w:rsidRPr="007D06EB">
        <w:rPr>
          <w:rFonts w:ascii="Times New Roman" w:hAnsi="Times New Roman"/>
        </w:rPr>
        <w:t xml:space="preserve"> sepa</w:t>
      </w:r>
      <w:r>
        <w:rPr>
          <w:rFonts w:ascii="Times New Roman" w:hAnsi="Times New Roman"/>
        </w:rPr>
        <w:t xml:space="preserve">rato dalle antiche contee di appartenenza. </w:t>
      </w:r>
      <w:r w:rsidRPr="003C57E2">
        <w:rPr>
          <w:rFonts w:ascii="Times New Roman" w:hAnsi="Times New Roman"/>
        </w:rPr>
        <w:t xml:space="preserve">András J. Horváth, </w:t>
      </w:r>
      <w:r w:rsidRPr="003C57E2">
        <w:rPr>
          <w:rFonts w:ascii="Times New Roman" w:hAnsi="Times New Roman"/>
          <w:i/>
        </w:rPr>
        <w:t>A megigényelt világváros. Budapest hatósága és lakossága a városegyesités éveiben</w:t>
      </w:r>
      <w:r w:rsidRPr="003C57E2">
        <w:rPr>
          <w:rFonts w:ascii="Times New Roman" w:hAnsi="Times New Roman"/>
        </w:rPr>
        <w:t xml:space="preserve">, </w:t>
      </w:r>
      <w:r>
        <w:rPr>
          <w:rFonts w:ascii="Arial Narrow" w:hAnsi="Arial Narrow"/>
        </w:rPr>
        <w:t>[</w:t>
      </w:r>
      <w:r>
        <w:rPr>
          <w:rFonts w:ascii="Times New Roman" w:hAnsi="Times New Roman"/>
        </w:rPr>
        <w:t>La metropoli adeguata. Le autorità e la popolazione di Budapest negli anni dell’unificazione della città</w:t>
      </w:r>
      <w:r>
        <w:rPr>
          <w:rFonts w:ascii="Arial Narrow" w:hAnsi="Arial Narrow"/>
        </w:rPr>
        <w:t>]</w:t>
      </w:r>
      <w:r>
        <w:rPr>
          <w:rFonts w:ascii="Times New Roman" w:hAnsi="Times New Roman"/>
        </w:rPr>
        <w:t xml:space="preserve">, </w:t>
      </w:r>
      <w:r w:rsidRPr="003C57E2">
        <w:rPr>
          <w:rFonts w:ascii="Times New Roman" w:hAnsi="Times New Roman"/>
        </w:rPr>
        <w:t>Budapest</w:t>
      </w:r>
      <w:r>
        <w:rPr>
          <w:rFonts w:ascii="Times New Roman" w:hAnsi="Times New Roman"/>
        </w:rPr>
        <w:t xml:space="preserve"> F</w:t>
      </w:r>
      <w:r w:rsidRPr="003C57E2">
        <w:rPr>
          <w:rFonts w:ascii="Times New Roman" w:hAnsi="Times New Roman"/>
        </w:rPr>
        <w:t>őváros Levéltára</w:t>
      </w:r>
      <w:r>
        <w:rPr>
          <w:rFonts w:ascii="Times New Roman" w:hAnsi="Times New Roman"/>
        </w:rPr>
        <w:t xml:space="preserve"> </w:t>
      </w:r>
      <w:r>
        <w:rPr>
          <w:rFonts w:ascii="Arial Narrow" w:hAnsi="Arial Narrow"/>
        </w:rPr>
        <w:t>[</w:t>
      </w:r>
      <w:r>
        <w:rPr>
          <w:rFonts w:ascii="Times New Roman" w:hAnsi="Times New Roman"/>
        </w:rPr>
        <w:t>Archivio della Capitale Budapest</w:t>
      </w:r>
      <w:r>
        <w:rPr>
          <w:rFonts w:ascii="Arial Narrow" w:hAnsi="Arial Narrow"/>
        </w:rPr>
        <w:t>]</w:t>
      </w:r>
      <w:r w:rsidRPr="003C57E2">
        <w:rPr>
          <w:rFonts w:ascii="Times New Roman" w:hAnsi="Times New Roman"/>
        </w:rPr>
        <w:t>, Budapest 2010,</w:t>
      </w:r>
      <w:r>
        <w:rPr>
          <w:rFonts w:ascii="Times New Roman" w:hAnsi="Times New Roman"/>
        </w:rPr>
        <w:t xml:space="preserve"> pp. 67</w:t>
      </w:r>
      <w:r w:rsidRPr="009F20A5">
        <w:rPr>
          <w:rFonts w:ascii="Times New Roman" w:hAnsi="Times New Roman"/>
        </w:rPr>
        <w:t>-78.</w:t>
      </w:r>
      <w:r>
        <w:rPr>
          <w:rFonts w:ascii="Times New Roman" w:hAnsi="Times New Roman"/>
        </w:rPr>
        <w:t xml:space="preserve"> </w:t>
      </w:r>
      <w:r w:rsidRPr="00462DC4">
        <w:rPr>
          <w:rFonts w:ascii="Times New Roman" w:hAnsi="Times New Roman"/>
        </w:rPr>
        <w:t>Per maggiore correttezza gli storici ungheresi adottano la denominazione Pest-Buda, anteriormente al 1873. Così György Györffy, medievista,</w:t>
      </w:r>
      <w:r>
        <w:rPr>
          <w:rFonts w:ascii="Times New Roman" w:hAnsi="Times New Roman"/>
        </w:rPr>
        <w:t xml:space="preserve"> nel suo</w:t>
      </w:r>
      <w:r w:rsidRPr="00462DC4">
        <w:rPr>
          <w:rFonts w:ascii="Times New Roman" w:hAnsi="Times New Roman"/>
        </w:rPr>
        <w:t xml:space="preserve"> </w:t>
      </w:r>
      <w:r w:rsidRPr="00462DC4">
        <w:rPr>
          <w:rFonts w:ascii="Times New Roman" w:hAnsi="Times New Roman"/>
          <w:i/>
        </w:rPr>
        <w:t>Pest-Buda kialakulása</w:t>
      </w:r>
      <w:r w:rsidRPr="00462DC4">
        <w:rPr>
          <w:rFonts w:ascii="Times New Roman" w:hAnsi="Times New Roman"/>
        </w:rPr>
        <w:t>,</w:t>
      </w:r>
      <w:r>
        <w:rPr>
          <w:rFonts w:ascii="Times New Roman" w:hAnsi="Times New Roman"/>
        </w:rPr>
        <w:t xml:space="preserve"> </w:t>
      </w:r>
      <w:r>
        <w:rPr>
          <w:rFonts w:ascii="Arial Narrow" w:hAnsi="Arial Narrow"/>
        </w:rPr>
        <w:t>[</w:t>
      </w:r>
      <w:r>
        <w:rPr>
          <w:rFonts w:ascii="Times New Roman" w:hAnsi="Times New Roman"/>
        </w:rPr>
        <w:t>Il formarsi di Pest-Buda</w:t>
      </w:r>
      <w:r>
        <w:rPr>
          <w:rFonts w:ascii="Arial Narrow" w:hAnsi="Arial Narrow"/>
        </w:rPr>
        <w:t>]</w:t>
      </w:r>
      <w:r w:rsidRPr="00462DC4">
        <w:rPr>
          <w:rFonts w:ascii="Times New Roman" w:hAnsi="Times New Roman"/>
        </w:rPr>
        <w:t xml:space="preserve"> Akadémiai Kiadó, Budapest 1997.   </w:t>
      </w:r>
    </w:p>
  </w:footnote>
  <w:footnote w:id="26">
    <w:p w14:paraId="64865360" w14:textId="4C781C86" w:rsidR="00591B49" w:rsidRPr="00DA3126" w:rsidRDefault="00591B49" w:rsidP="006D6265">
      <w:pPr>
        <w:pStyle w:val="Testonotaapidipagina"/>
        <w:ind w:right="567"/>
        <w:jc w:val="both"/>
        <w:rPr>
          <w:rFonts w:ascii="Times New Roman" w:hAnsi="Times New Roman"/>
        </w:rPr>
      </w:pPr>
      <w:r w:rsidRPr="00C947BB">
        <w:rPr>
          <w:rStyle w:val="Rimandonotaapidipagina"/>
          <w:rFonts w:ascii="Times New Roman" w:hAnsi="Times New Roman"/>
        </w:rPr>
        <w:footnoteRef/>
      </w:r>
      <w:r>
        <w:rPr>
          <w:rFonts w:ascii="Times New Roman" w:hAnsi="Times New Roman"/>
        </w:rPr>
        <w:t xml:space="preserve"> Dal titolo</w:t>
      </w:r>
      <w:r w:rsidRPr="00C947BB">
        <w:rPr>
          <w:rFonts w:ascii="Times New Roman" w:hAnsi="Times New Roman"/>
        </w:rPr>
        <w:t xml:space="preserve"> del volume di István Deák, </w:t>
      </w:r>
      <w:r w:rsidRPr="00C947BB">
        <w:rPr>
          <w:rFonts w:ascii="Times New Roman" w:hAnsi="Times New Roman"/>
          <w:i/>
        </w:rPr>
        <w:t>The Lawful Revolution</w:t>
      </w:r>
      <w:r w:rsidRPr="00C947BB">
        <w:rPr>
          <w:rFonts w:ascii="Times New Roman" w:hAnsi="Times New Roman"/>
        </w:rPr>
        <w:t xml:space="preserve">. </w:t>
      </w:r>
      <w:r w:rsidRPr="00C947BB">
        <w:rPr>
          <w:rFonts w:ascii="Times New Roman" w:hAnsi="Times New Roman"/>
          <w:i/>
        </w:rPr>
        <w:t>Lajos Kossuth and the Hungarians in 1848-49</w:t>
      </w:r>
      <w:r w:rsidRPr="00C947BB">
        <w:rPr>
          <w:rFonts w:ascii="Times New Roman" w:hAnsi="Times New Roman"/>
        </w:rPr>
        <w:t>, Columbia University Press, New York 1979, apparso anche in versione tedesca e</w:t>
      </w:r>
      <w:r>
        <w:rPr>
          <w:rFonts w:ascii="Times New Roman" w:hAnsi="Times New Roman"/>
        </w:rPr>
        <w:t>d</w:t>
      </w:r>
      <w:r w:rsidRPr="00C947BB">
        <w:rPr>
          <w:rFonts w:ascii="Times New Roman" w:hAnsi="Times New Roman"/>
        </w:rPr>
        <w:t xml:space="preserve"> ungherese rispettivamente nel 1989 e nel 1994.</w:t>
      </w:r>
      <w:r>
        <w:rPr>
          <w:rFonts w:ascii="Times New Roman" w:hAnsi="Times New Roman"/>
        </w:rPr>
        <w:t xml:space="preserve"> La rivoluzione del 1848</w:t>
      </w:r>
      <w:r w:rsidRPr="00574EDB">
        <w:rPr>
          <w:rFonts w:ascii="Times New Roman" w:hAnsi="Times New Roman"/>
        </w:rPr>
        <w:t>-49</w:t>
      </w:r>
      <w:r>
        <w:rPr>
          <w:rFonts w:ascii="Times New Roman" w:hAnsi="Times New Roman"/>
        </w:rPr>
        <w:t xml:space="preserve"> ha dato origine ad una vasta messe di studi, </w:t>
      </w:r>
      <w:r w:rsidRPr="00574EDB">
        <w:rPr>
          <w:rFonts w:ascii="Times New Roman" w:hAnsi="Times New Roman"/>
        </w:rPr>
        <w:t xml:space="preserve">che in Ungheria viene </w:t>
      </w:r>
      <w:r>
        <w:rPr>
          <w:rFonts w:ascii="Times New Roman" w:hAnsi="Times New Roman"/>
        </w:rPr>
        <w:t xml:space="preserve">sovente </w:t>
      </w:r>
      <w:r w:rsidRPr="00574EDB">
        <w:rPr>
          <w:rFonts w:ascii="Times New Roman" w:hAnsi="Times New Roman"/>
        </w:rPr>
        <w:t>sottomessa alla nozione</w:t>
      </w:r>
      <w:r>
        <w:rPr>
          <w:rFonts w:ascii="Times New Roman" w:hAnsi="Times New Roman"/>
        </w:rPr>
        <w:t xml:space="preserve"> di </w:t>
      </w:r>
      <w:r w:rsidRPr="00574EDB">
        <w:rPr>
          <w:rFonts w:ascii="Times New Roman" w:hAnsi="Times New Roman"/>
          <w:i/>
        </w:rPr>
        <w:t>szabadságharc</w:t>
      </w:r>
      <w:r>
        <w:rPr>
          <w:rFonts w:ascii="Times New Roman" w:hAnsi="Times New Roman"/>
        </w:rPr>
        <w:t xml:space="preserve"> </w:t>
      </w:r>
      <w:r w:rsidRPr="00574EDB">
        <w:rPr>
          <w:rFonts w:ascii="Times New Roman" w:hAnsi="Times New Roman"/>
        </w:rPr>
        <w:t>[la lotta per la libert</w:t>
      </w:r>
      <w:r>
        <w:rPr>
          <w:rFonts w:ascii="Times New Roman" w:hAnsi="Times New Roman"/>
        </w:rPr>
        <w:t>à</w:t>
      </w:r>
      <w:r w:rsidRPr="00574EDB">
        <w:rPr>
          <w:rFonts w:ascii="Times New Roman" w:hAnsi="Times New Roman"/>
        </w:rPr>
        <w:t>] comprensiva tanto dei fatti rivoluzionari che della guerra con l’Austria e poi la Russia.</w:t>
      </w:r>
      <w:r>
        <w:rPr>
          <w:rFonts w:ascii="Times New Roman" w:hAnsi="Times New Roman"/>
        </w:rPr>
        <w:t xml:space="preserve"> Si rimanda ai capitoli dedicati all</w:t>
      </w:r>
      <w:r w:rsidRPr="00574EDB">
        <w:rPr>
          <w:rFonts w:ascii="Times New Roman" w:hAnsi="Times New Roman"/>
        </w:rPr>
        <w:t>’argomento nelle monografie di Alan J.</w:t>
      </w:r>
      <w:r>
        <w:rPr>
          <w:rFonts w:ascii="Times New Roman" w:hAnsi="Times New Roman"/>
        </w:rPr>
        <w:t xml:space="preserve"> P. Taylor (</w:t>
      </w:r>
      <w:r w:rsidRPr="00574EDB">
        <w:rPr>
          <w:rFonts w:ascii="Times New Roman" w:hAnsi="Times New Roman"/>
          <w:i/>
        </w:rPr>
        <w:t>The Habsburg Monarchy 1809-1918</w:t>
      </w:r>
      <w:r>
        <w:rPr>
          <w:rFonts w:ascii="Times New Roman" w:hAnsi="Times New Roman"/>
          <w:i/>
        </w:rPr>
        <w:t xml:space="preserve">, </w:t>
      </w:r>
      <w:r>
        <w:rPr>
          <w:rFonts w:ascii="Times New Roman" w:hAnsi="Times New Roman"/>
        </w:rPr>
        <w:t>Hamish Hamilton</w:t>
      </w:r>
      <w:r w:rsidRPr="00EE0454">
        <w:rPr>
          <w:rFonts w:ascii="Times New Roman" w:hAnsi="Times New Roman"/>
        </w:rPr>
        <w:t>, London 1948-1957),</w:t>
      </w:r>
      <w:r>
        <w:rPr>
          <w:rFonts w:ascii="Times New Roman" w:hAnsi="Times New Roman"/>
        </w:rPr>
        <w:t xml:space="preserve"> Carlyle A. Macartney </w:t>
      </w:r>
      <w:r w:rsidRPr="00B95FF4">
        <w:rPr>
          <w:rFonts w:ascii="Times New Roman" w:hAnsi="Times New Roman"/>
        </w:rPr>
        <w:t>(</w:t>
      </w:r>
      <w:r w:rsidRPr="00B95FF4">
        <w:rPr>
          <w:rFonts w:ascii="Times New Roman" w:hAnsi="Times New Roman"/>
          <w:i/>
        </w:rPr>
        <w:t>The Habsburg Empire 1790-1918</w:t>
      </w:r>
      <w:r w:rsidRPr="00B95FF4">
        <w:rPr>
          <w:rFonts w:ascii="Times New Roman" w:hAnsi="Times New Roman"/>
        </w:rPr>
        <w:t>, L</w:t>
      </w:r>
      <w:r>
        <w:rPr>
          <w:rFonts w:ascii="Times New Roman" w:hAnsi="Times New Roman"/>
        </w:rPr>
        <w:t xml:space="preserve">owe &amp; Brydone Ldt., London 1969, </w:t>
      </w:r>
      <w:r w:rsidRPr="00B95FF4">
        <w:rPr>
          <w:rFonts w:ascii="Times New Roman" w:hAnsi="Times New Roman"/>
        </w:rPr>
        <w:t xml:space="preserve">in versione italiana </w:t>
      </w:r>
      <w:r w:rsidRPr="00B95FF4">
        <w:rPr>
          <w:rFonts w:ascii="Times New Roman" w:hAnsi="Times New Roman"/>
          <w:i/>
        </w:rPr>
        <w:t>L’Impero degli Asburgo 1790-1918</w:t>
      </w:r>
      <w:r w:rsidRPr="00B95FF4">
        <w:rPr>
          <w:rFonts w:ascii="Times New Roman" w:hAnsi="Times New Roman"/>
        </w:rPr>
        <w:t>, Garzanti, Milano 1970)</w:t>
      </w:r>
      <w:r>
        <w:rPr>
          <w:rFonts w:ascii="Times New Roman" w:hAnsi="Times New Roman"/>
        </w:rPr>
        <w:t xml:space="preserve"> e Alan </w:t>
      </w:r>
      <w:r w:rsidRPr="00DA3126">
        <w:rPr>
          <w:rFonts w:ascii="Times New Roman" w:hAnsi="Times New Roman"/>
        </w:rPr>
        <w:t>Sked (</w:t>
      </w:r>
      <w:r w:rsidRPr="00DA3126">
        <w:rPr>
          <w:rFonts w:ascii="Times New Roman" w:hAnsi="Times New Roman"/>
          <w:i/>
        </w:rPr>
        <w:t>Decline and Fall of the Habsburg Empire 1815-1918</w:t>
      </w:r>
      <w:r>
        <w:rPr>
          <w:rFonts w:ascii="Times New Roman" w:hAnsi="Times New Roman"/>
        </w:rPr>
        <w:t xml:space="preserve">, </w:t>
      </w:r>
      <w:r w:rsidRPr="00DA3126">
        <w:rPr>
          <w:rFonts w:ascii="Times New Roman" w:hAnsi="Times New Roman"/>
        </w:rPr>
        <w:t xml:space="preserve">in traduzione italiana </w:t>
      </w:r>
      <w:r>
        <w:rPr>
          <w:rFonts w:ascii="Times New Roman" w:hAnsi="Times New Roman"/>
          <w:i/>
        </w:rPr>
        <w:t>Grandezza</w:t>
      </w:r>
      <w:r w:rsidRPr="00DA3126">
        <w:rPr>
          <w:rFonts w:ascii="Times New Roman" w:hAnsi="Times New Roman"/>
          <w:i/>
        </w:rPr>
        <w:t xml:space="preserve"> e caduta dell’Impero degli Asburgo 1815-1918,</w:t>
      </w:r>
      <w:r>
        <w:rPr>
          <w:rFonts w:ascii="Times New Roman" w:hAnsi="Times New Roman"/>
        </w:rPr>
        <w:t xml:space="preserve"> Laterza, Bari 1992).</w:t>
      </w:r>
    </w:p>
  </w:footnote>
  <w:footnote w:id="27">
    <w:p w14:paraId="04809A78" w14:textId="134BC5C3" w:rsidR="00591B49" w:rsidRPr="008E0762" w:rsidRDefault="00591B49" w:rsidP="004272C9">
      <w:pPr>
        <w:pStyle w:val="Testonotaapidipagina"/>
        <w:ind w:right="567"/>
        <w:jc w:val="both"/>
        <w:rPr>
          <w:rFonts w:ascii="Times New Roman" w:hAnsi="Times New Roman"/>
        </w:rPr>
      </w:pPr>
      <w:r w:rsidRPr="004272C9">
        <w:rPr>
          <w:rStyle w:val="Rimandonotaapidipagina"/>
          <w:rFonts w:ascii="Times New Roman" w:hAnsi="Times New Roman"/>
        </w:rPr>
        <w:footnoteRef/>
      </w:r>
      <w:r>
        <w:rPr>
          <w:rFonts w:ascii="Times New Roman" w:hAnsi="Times New Roman"/>
        </w:rPr>
        <w:t xml:space="preserve"> Il progetto di unione con l’Ungheria fu accolto positivamente</w:t>
      </w:r>
      <w:r w:rsidRPr="004272C9">
        <w:rPr>
          <w:rFonts w:ascii="Times New Roman" w:hAnsi="Times New Roman"/>
        </w:rPr>
        <w:t xml:space="preserve"> negli ambienti intel</w:t>
      </w:r>
      <w:r>
        <w:rPr>
          <w:rFonts w:ascii="Times New Roman" w:hAnsi="Times New Roman"/>
        </w:rPr>
        <w:t xml:space="preserve">lettuali romeni di Transilvania, all’idea che la svolta liberale ungherese potesse favorire le rivendicazioni nazionali romene nell’antico Principato. </w:t>
      </w:r>
      <w:r>
        <w:rPr>
          <w:rFonts w:ascii="Times New Roman" w:hAnsi="Times New Roman"/>
          <w:lang w:val="en-US"/>
        </w:rPr>
        <w:t xml:space="preserve">Keith Hitchins, </w:t>
      </w:r>
      <w:r w:rsidRPr="00C06973">
        <w:rPr>
          <w:rFonts w:ascii="Times New Roman" w:hAnsi="Times New Roman"/>
          <w:i/>
          <w:lang w:val="en-US"/>
        </w:rPr>
        <w:t>The Rumanian National Movement in Transylvania, 1780-1849</w:t>
      </w:r>
      <w:r>
        <w:rPr>
          <w:rFonts w:ascii="Times New Roman" w:hAnsi="Times New Roman"/>
          <w:lang w:val="en-US"/>
        </w:rPr>
        <w:t xml:space="preserve">, Harvard University Press, Cambridge (Massachussett) 1969, cap. </w:t>
      </w:r>
      <w:r w:rsidRPr="008E0762">
        <w:rPr>
          <w:rFonts w:ascii="Times New Roman" w:hAnsi="Times New Roman"/>
        </w:rPr>
        <w:t xml:space="preserve">VI, pp. 185-193. </w:t>
      </w:r>
    </w:p>
  </w:footnote>
  <w:footnote w:id="28">
    <w:p w14:paraId="6D08143F" w14:textId="07A85531" w:rsidR="0094130C" w:rsidRPr="00C947BB" w:rsidRDefault="0094130C" w:rsidP="0094130C">
      <w:pPr>
        <w:pStyle w:val="Testonotaapidipagina"/>
        <w:ind w:right="567"/>
        <w:jc w:val="both"/>
        <w:rPr>
          <w:rFonts w:ascii="Times New Roman" w:hAnsi="Times New Roman"/>
        </w:rPr>
      </w:pPr>
      <w:r>
        <w:rPr>
          <w:rStyle w:val="Rimandonotaapidipagina"/>
        </w:rPr>
        <w:footnoteRef/>
      </w:r>
      <w:r>
        <w:t xml:space="preserve"> </w:t>
      </w:r>
      <w:r w:rsidR="001266E1">
        <w:rPr>
          <w:rFonts w:ascii="Times New Roman" w:hAnsi="Times New Roman"/>
        </w:rPr>
        <w:t>Joseph Andrew Blackwell</w:t>
      </w:r>
      <w:r w:rsidRPr="00C947BB">
        <w:rPr>
          <w:rFonts w:ascii="Times New Roman" w:hAnsi="Times New Roman"/>
        </w:rPr>
        <w:t xml:space="preserve"> fu testimone d’eccezione dei fatti ungheresi negli anni 1843-185</w:t>
      </w:r>
      <w:r>
        <w:rPr>
          <w:rFonts w:ascii="Times New Roman" w:hAnsi="Times New Roman"/>
        </w:rPr>
        <w:t>1. Nel memorandum destinato al m</w:t>
      </w:r>
      <w:r w:rsidRPr="00C947BB">
        <w:rPr>
          <w:rFonts w:ascii="Times New Roman" w:hAnsi="Times New Roman"/>
        </w:rPr>
        <w:t>inistro degli Esteri</w:t>
      </w:r>
      <w:r>
        <w:rPr>
          <w:rFonts w:ascii="Times New Roman" w:hAnsi="Times New Roman"/>
        </w:rPr>
        <w:t>,</w:t>
      </w:r>
      <w:r w:rsidRPr="00C947BB">
        <w:rPr>
          <w:rFonts w:ascii="Times New Roman" w:hAnsi="Times New Roman"/>
        </w:rPr>
        <w:t xml:space="preserve"> Lord Palmerston</w:t>
      </w:r>
      <w:r>
        <w:rPr>
          <w:rFonts w:ascii="Times New Roman" w:hAnsi="Times New Roman"/>
        </w:rPr>
        <w:t>, egli</w:t>
      </w:r>
      <w:r w:rsidRPr="00C947BB">
        <w:rPr>
          <w:rFonts w:ascii="Times New Roman" w:hAnsi="Times New Roman"/>
        </w:rPr>
        <w:t xml:space="preserve"> riconobbe che fra </w:t>
      </w:r>
      <w:r w:rsidRPr="00863017">
        <w:rPr>
          <w:rFonts w:ascii="Times New Roman" w:hAnsi="Times New Roman"/>
        </w:rPr>
        <w:t>i 13.500.000 di anime</w:t>
      </w:r>
      <w:r w:rsidRPr="00C947BB">
        <w:rPr>
          <w:rFonts w:ascii="Times New Roman" w:hAnsi="Times New Roman"/>
        </w:rPr>
        <w:t xml:space="preserve"> d</w:t>
      </w:r>
      <w:r>
        <w:rPr>
          <w:rFonts w:ascii="Times New Roman" w:hAnsi="Times New Roman"/>
        </w:rPr>
        <w:t xml:space="preserve">el regno d’Ungheria dell’epoca – </w:t>
      </w:r>
      <w:r w:rsidRPr="00C947BB">
        <w:rPr>
          <w:rFonts w:ascii="Times New Roman" w:hAnsi="Times New Roman"/>
        </w:rPr>
        <w:t>incluso</w:t>
      </w:r>
      <w:r>
        <w:rPr>
          <w:rFonts w:ascii="Times New Roman" w:hAnsi="Times New Roman"/>
        </w:rPr>
        <w:t xml:space="preserve"> il regno di Croazia-Slavonia –</w:t>
      </w:r>
      <w:r w:rsidRPr="00C947BB">
        <w:rPr>
          <w:rFonts w:ascii="Times New Roman" w:hAnsi="Times New Roman"/>
        </w:rPr>
        <w:t xml:space="preserve"> i magiari erano soltanto 4.800.000.</w:t>
      </w:r>
      <w:r>
        <w:rPr>
          <w:rFonts w:ascii="Times New Roman" w:hAnsi="Times New Roman"/>
        </w:rPr>
        <w:t xml:space="preserve"> Cfr. Joseph Andrew</w:t>
      </w:r>
      <w:r w:rsidRPr="00C947BB">
        <w:rPr>
          <w:rFonts w:ascii="Times New Roman" w:hAnsi="Times New Roman"/>
        </w:rPr>
        <w:t xml:space="preserve"> Blackwell, </w:t>
      </w:r>
      <w:r w:rsidRPr="00C947BB">
        <w:rPr>
          <w:rFonts w:ascii="Times New Roman" w:hAnsi="Times New Roman"/>
          <w:i/>
        </w:rPr>
        <w:t>Memorandum a politikai agitációról az Osztrák Birodalomban – Sztatisztikai adatok</w:t>
      </w:r>
      <w:r w:rsidRPr="00C947BB">
        <w:rPr>
          <w:rFonts w:ascii="Times New Roman" w:hAnsi="Times New Roman"/>
        </w:rPr>
        <w:t xml:space="preserve"> [Memorandum sulle agitazioni p</w:t>
      </w:r>
      <w:r>
        <w:rPr>
          <w:rFonts w:ascii="Times New Roman" w:hAnsi="Times New Roman"/>
        </w:rPr>
        <w:t>olitiche nell’Impero d’Austria.</w:t>
      </w:r>
      <w:r w:rsidRPr="00C947BB">
        <w:rPr>
          <w:rFonts w:ascii="Times New Roman" w:hAnsi="Times New Roman"/>
        </w:rPr>
        <w:t xml:space="preserve"> Dati statistici], in</w:t>
      </w:r>
      <w:r>
        <w:rPr>
          <w:rFonts w:ascii="Times New Roman" w:hAnsi="Times New Roman"/>
        </w:rPr>
        <w:t xml:space="preserve"> Id.,</w:t>
      </w:r>
      <w:r w:rsidRPr="00C947BB">
        <w:rPr>
          <w:rFonts w:ascii="Times New Roman" w:hAnsi="Times New Roman"/>
        </w:rPr>
        <w:t xml:space="preserve"> </w:t>
      </w:r>
      <w:r w:rsidRPr="00C947BB">
        <w:rPr>
          <w:rFonts w:ascii="Times New Roman" w:hAnsi="Times New Roman"/>
          <w:i/>
        </w:rPr>
        <w:t>Magyarország küldetései</w:t>
      </w:r>
      <w:r>
        <w:rPr>
          <w:rFonts w:ascii="Times New Roman" w:hAnsi="Times New Roman"/>
          <w:i/>
        </w:rPr>
        <w:t>,</w:t>
      </w:r>
      <w:r w:rsidRPr="00C947BB">
        <w:rPr>
          <w:rFonts w:ascii="Times New Roman" w:hAnsi="Times New Roman"/>
          <w:i/>
        </w:rPr>
        <w:t xml:space="preserve"> 1843-1851</w:t>
      </w:r>
      <w:r w:rsidRPr="00C947BB">
        <w:rPr>
          <w:rFonts w:ascii="Times New Roman" w:hAnsi="Times New Roman"/>
        </w:rPr>
        <w:t xml:space="preserve"> [Missioni in Ungheria</w:t>
      </w:r>
      <w:r>
        <w:rPr>
          <w:rFonts w:ascii="Times New Roman" w:hAnsi="Times New Roman"/>
        </w:rPr>
        <w:t>, 1843-1851</w:t>
      </w:r>
      <w:r w:rsidRPr="00C947BB">
        <w:rPr>
          <w:rFonts w:ascii="Times New Roman" w:hAnsi="Times New Roman"/>
        </w:rPr>
        <w:t>], Európa kiadó,</w:t>
      </w:r>
      <w:r>
        <w:rPr>
          <w:rFonts w:ascii="Times New Roman" w:hAnsi="Times New Roman"/>
        </w:rPr>
        <w:t xml:space="preserve"> Budapest 1989, pp. 201-298.</w:t>
      </w:r>
    </w:p>
    <w:p w14:paraId="0CCA56F4" w14:textId="6413F76E" w:rsidR="0094130C" w:rsidRDefault="0094130C">
      <w:pPr>
        <w:pStyle w:val="Testonotaapidipagina"/>
      </w:pPr>
    </w:p>
  </w:footnote>
  <w:footnote w:id="29">
    <w:p w14:paraId="039ECD91" w14:textId="1FF828BA" w:rsidR="00591B49" w:rsidRPr="00344EB6" w:rsidRDefault="00591B49" w:rsidP="00344EB6">
      <w:pPr>
        <w:pStyle w:val="Testonotaapidipagina"/>
        <w:ind w:right="567"/>
        <w:jc w:val="both"/>
        <w:rPr>
          <w:rFonts w:ascii="Times New Roman" w:hAnsi="Times New Roman"/>
        </w:rPr>
      </w:pPr>
      <w:r>
        <w:rPr>
          <w:rStyle w:val="Rimandonotaapidipagina"/>
        </w:rPr>
        <w:footnoteRef/>
      </w:r>
      <w:r>
        <w:t xml:space="preserve"> </w:t>
      </w:r>
      <w:r w:rsidR="00F12D5E">
        <w:rPr>
          <w:rFonts w:ascii="Times New Roman" w:hAnsi="Times New Roman"/>
        </w:rPr>
        <w:t xml:space="preserve">Sulla percezione </w:t>
      </w:r>
      <w:r>
        <w:rPr>
          <w:rFonts w:ascii="Times New Roman" w:hAnsi="Times New Roman"/>
        </w:rPr>
        <w:t>dei magiari in relazione con le altre nazionalità nel bacino danubiano</w:t>
      </w:r>
      <w:r w:rsidRPr="00344EB6">
        <w:rPr>
          <w:rFonts w:ascii="Times New Roman" w:hAnsi="Times New Roman"/>
        </w:rPr>
        <w:t xml:space="preserve">, vedi Holm Sundhaussen, </w:t>
      </w:r>
      <w:r w:rsidRPr="00344EB6">
        <w:rPr>
          <w:rFonts w:ascii="Times New Roman" w:hAnsi="Times New Roman"/>
          <w:i/>
        </w:rPr>
        <w:t>Der Einfluss der Herderschen Ideen auf die Nationalbildung bei den Vö</w:t>
      </w:r>
      <w:r>
        <w:rPr>
          <w:rFonts w:ascii="Times New Roman" w:hAnsi="Times New Roman"/>
          <w:i/>
        </w:rPr>
        <w:t>lkern der Habsburger Monarchie</w:t>
      </w:r>
      <w:r w:rsidRPr="00344EB6">
        <w:rPr>
          <w:rFonts w:ascii="Times New Roman" w:hAnsi="Times New Roman"/>
        </w:rPr>
        <w:t xml:space="preserve"> </w:t>
      </w:r>
      <w:r>
        <w:rPr>
          <w:rFonts w:ascii="Arial Narrow" w:hAnsi="Arial Narrow"/>
        </w:rPr>
        <w:t>[</w:t>
      </w:r>
      <w:r>
        <w:rPr>
          <w:rFonts w:ascii="Times New Roman" w:hAnsi="Times New Roman"/>
        </w:rPr>
        <w:t>L</w:t>
      </w:r>
      <w:r w:rsidRPr="00344EB6">
        <w:rPr>
          <w:rFonts w:ascii="Times New Roman" w:hAnsi="Times New Roman"/>
        </w:rPr>
        <w:t>’influenza delle idee di Herder sulla costruzione della nazione fra i</w:t>
      </w:r>
      <w:r>
        <w:rPr>
          <w:rFonts w:ascii="Times New Roman" w:hAnsi="Times New Roman"/>
        </w:rPr>
        <w:t xml:space="preserve"> popoli della Mo</w:t>
      </w:r>
      <w:r w:rsidRPr="00344EB6">
        <w:rPr>
          <w:rFonts w:ascii="Times New Roman" w:hAnsi="Times New Roman"/>
        </w:rPr>
        <w:t>narchia asburgica</w:t>
      </w:r>
      <w:r>
        <w:rPr>
          <w:rFonts w:ascii="Arial Narrow" w:hAnsi="Arial Narrow"/>
        </w:rPr>
        <w:t>]</w:t>
      </w:r>
      <w:r w:rsidRPr="00344EB6">
        <w:rPr>
          <w:rFonts w:ascii="Times New Roman" w:hAnsi="Times New Roman"/>
        </w:rPr>
        <w:t xml:space="preserve">, </w:t>
      </w:r>
      <w:r>
        <w:rPr>
          <w:rFonts w:ascii="Times New Roman" w:hAnsi="Times New Roman"/>
        </w:rPr>
        <w:t xml:space="preserve">Oldenbourg Verlag, </w:t>
      </w:r>
      <w:r w:rsidRPr="00344EB6">
        <w:rPr>
          <w:rFonts w:ascii="Times New Roman" w:hAnsi="Times New Roman"/>
        </w:rPr>
        <w:t>München 1973.</w:t>
      </w:r>
    </w:p>
  </w:footnote>
  <w:footnote w:id="30">
    <w:p w14:paraId="7EF1BEB5" w14:textId="6B27CC18" w:rsidR="00591B49" w:rsidRPr="004272C9" w:rsidRDefault="00591B49" w:rsidP="004272C9">
      <w:pPr>
        <w:pStyle w:val="Testonotaapidipagina"/>
        <w:ind w:right="567"/>
        <w:jc w:val="both"/>
        <w:rPr>
          <w:rFonts w:ascii="Times New Roman" w:hAnsi="Times New Roman"/>
        </w:rPr>
      </w:pPr>
      <w:r w:rsidRPr="004272C9">
        <w:rPr>
          <w:rStyle w:val="Rimandonotaapidipagina"/>
          <w:rFonts w:ascii="Times New Roman" w:hAnsi="Times New Roman"/>
        </w:rPr>
        <w:footnoteRef/>
      </w:r>
      <w:r w:rsidRPr="004272C9">
        <w:rPr>
          <w:rFonts w:ascii="Times New Roman" w:hAnsi="Times New Roman"/>
        </w:rPr>
        <w:t xml:space="preserve"> La visione pessimistica del futuro dei magiari nel caso si fosse concessa l’autonomia politica ai gruppi nazionali riecheggia nelle dichiarazioni di L. Kossuth ad una delegazione serba da </w:t>
      </w:r>
      <w:r w:rsidRPr="00003C48">
        <w:rPr>
          <w:rFonts w:ascii="Times New Roman" w:hAnsi="Times New Roman"/>
        </w:rPr>
        <w:t>Újvidék</w:t>
      </w:r>
      <w:r>
        <w:rPr>
          <w:rFonts w:ascii="Times New Roman" w:hAnsi="Times New Roman"/>
        </w:rPr>
        <w:t xml:space="preserve"> (</w:t>
      </w:r>
      <w:r w:rsidRPr="00003C48">
        <w:rPr>
          <w:rFonts w:ascii="Times New Roman" w:hAnsi="Times New Roman"/>
          <w:i/>
        </w:rPr>
        <w:t>Novi Sad</w:t>
      </w:r>
      <w:r>
        <w:rPr>
          <w:rFonts w:ascii="Times New Roman" w:hAnsi="Times New Roman"/>
        </w:rPr>
        <w:t>)</w:t>
      </w:r>
      <w:r w:rsidRPr="004272C9">
        <w:rPr>
          <w:rFonts w:ascii="Times New Roman" w:hAnsi="Times New Roman"/>
        </w:rPr>
        <w:t xml:space="preserve">, che chiedeva il semplice riconoscimento dello speciale status della loro comunità, goduto dal XVII secolo sotto gli Asburgo. József Thim, </w:t>
      </w:r>
      <w:r w:rsidRPr="004272C9">
        <w:rPr>
          <w:rFonts w:ascii="Times New Roman" w:hAnsi="Times New Roman"/>
          <w:i/>
        </w:rPr>
        <w:t>A magyarországi 1848-1849-iki szerb fölkelés története</w:t>
      </w:r>
      <w:r w:rsidRPr="004272C9">
        <w:rPr>
          <w:rFonts w:ascii="Times New Roman" w:hAnsi="Times New Roman"/>
        </w:rPr>
        <w:t xml:space="preserve">, </w:t>
      </w:r>
      <w:r w:rsidRPr="004272C9">
        <w:rPr>
          <w:rFonts w:ascii="Arial Narrow" w:hAnsi="Arial Narrow"/>
        </w:rPr>
        <w:t>[</w:t>
      </w:r>
      <w:r w:rsidRPr="004272C9">
        <w:rPr>
          <w:rFonts w:ascii="Times New Roman" w:hAnsi="Times New Roman"/>
        </w:rPr>
        <w:t>Storia dell</w:t>
      </w:r>
      <w:r>
        <w:rPr>
          <w:rFonts w:ascii="Times New Roman" w:hAnsi="Times New Roman"/>
        </w:rPr>
        <w:t>’insurrezione serba nell’Ungheria del 1848-1849</w:t>
      </w:r>
      <w:r>
        <w:rPr>
          <w:rFonts w:ascii="Arial Narrow" w:hAnsi="Arial Narrow"/>
        </w:rPr>
        <w:t>]</w:t>
      </w:r>
      <w:r>
        <w:rPr>
          <w:rFonts w:ascii="Times New Roman" w:hAnsi="Times New Roman"/>
        </w:rPr>
        <w:t xml:space="preserve">, </w:t>
      </w:r>
      <w:r w:rsidRPr="004272C9">
        <w:rPr>
          <w:rFonts w:ascii="Times New Roman" w:hAnsi="Times New Roman"/>
        </w:rPr>
        <w:t xml:space="preserve">3 voll., Budapest 1930-1940, vol. I, pp. 35-38. </w:t>
      </w:r>
    </w:p>
  </w:footnote>
  <w:footnote w:id="31">
    <w:p w14:paraId="06905FB0" w14:textId="77777777" w:rsidR="00591B49" w:rsidRPr="00141FD1" w:rsidRDefault="00591B49" w:rsidP="006D6265">
      <w:pPr>
        <w:pStyle w:val="Testonotaapidipagina"/>
        <w:ind w:right="567"/>
        <w:jc w:val="both"/>
        <w:rPr>
          <w:rFonts w:ascii="Times New Roman" w:hAnsi="Times New Roman"/>
        </w:rPr>
      </w:pPr>
      <w:r w:rsidRPr="00C947BB">
        <w:rPr>
          <w:rStyle w:val="Rimandonotaapidipagina"/>
          <w:rFonts w:ascii="Times New Roman" w:hAnsi="Times New Roman"/>
        </w:rPr>
        <w:footnoteRef/>
      </w:r>
      <w:r>
        <w:rPr>
          <w:rFonts w:ascii="Times New Roman" w:hAnsi="Times New Roman"/>
        </w:rPr>
        <w:t xml:space="preserve"> La questione nazionale e la “primavera dei popoli”</w:t>
      </w:r>
      <w:r w:rsidRPr="00C947BB">
        <w:rPr>
          <w:rFonts w:ascii="Times New Roman" w:hAnsi="Times New Roman"/>
        </w:rPr>
        <w:t xml:space="preserve"> dal punto di vi</w:t>
      </w:r>
      <w:r>
        <w:rPr>
          <w:rFonts w:ascii="Times New Roman" w:hAnsi="Times New Roman"/>
        </w:rPr>
        <w:t>sta romeno sono state oggetto d’un rinnovato interesse</w:t>
      </w:r>
      <w:r w:rsidRPr="00C947BB">
        <w:rPr>
          <w:rFonts w:ascii="Times New Roman" w:hAnsi="Times New Roman"/>
        </w:rPr>
        <w:t xml:space="preserve"> degli storici dell’Università di C</w:t>
      </w:r>
      <w:r>
        <w:rPr>
          <w:rFonts w:ascii="Times New Roman" w:hAnsi="Times New Roman"/>
        </w:rPr>
        <w:t>luj-Napoca. Si vedano in tal senso</w:t>
      </w:r>
      <w:r w:rsidRPr="00C947BB">
        <w:rPr>
          <w:rFonts w:ascii="Times New Roman" w:hAnsi="Times New Roman"/>
        </w:rPr>
        <w:t xml:space="preserve"> il volume di Gelu Neamțu e Ioan Bolovan, </w:t>
      </w:r>
      <w:r w:rsidRPr="00C947BB">
        <w:rPr>
          <w:rFonts w:ascii="Times New Roman" w:hAnsi="Times New Roman"/>
          <w:i/>
        </w:rPr>
        <w:t xml:space="preserve">The Revolution of 1848-1849 in Transylvania. </w:t>
      </w:r>
      <w:r w:rsidRPr="00141FD1">
        <w:rPr>
          <w:rFonts w:ascii="Times New Roman" w:hAnsi="Times New Roman"/>
          <w:i/>
        </w:rPr>
        <w:t>Contributions to the History of Mentalities and the Social Imaginary</w:t>
      </w:r>
      <w:r w:rsidRPr="00141FD1">
        <w:rPr>
          <w:rFonts w:ascii="Times New Roman" w:hAnsi="Times New Roman"/>
        </w:rPr>
        <w:t xml:space="preserve">, Romanian Cultural Institute, Cluj-Napoca 2004; nonché Ion Cârja, </w:t>
      </w:r>
      <w:r w:rsidRPr="00141FD1">
        <w:rPr>
          <w:rFonts w:ascii="Times New Roman" w:hAnsi="Times New Roman"/>
          <w:i/>
        </w:rPr>
        <w:t>Les Roumains de Transylvanie et l’Empire de Habsbo</w:t>
      </w:r>
      <w:r>
        <w:rPr>
          <w:rFonts w:ascii="Times New Roman" w:hAnsi="Times New Roman"/>
          <w:i/>
        </w:rPr>
        <w:t xml:space="preserve">urgs dans le période 1848-1851 </w:t>
      </w:r>
      <w:r w:rsidRPr="00141FD1">
        <w:rPr>
          <w:rFonts w:ascii="Times New Roman" w:hAnsi="Times New Roman"/>
          <w:i/>
        </w:rPr>
        <w:t>entre réalité et imaginaire</w:t>
      </w:r>
      <w:r>
        <w:rPr>
          <w:rFonts w:ascii="Times New Roman" w:hAnsi="Times New Roman"/>
        </w:rPr>
        <w:t xml:space="preserve">, in </w:t>
      </w:r>
      <w:r w:rsidRPr="00DD4B52">
        <w:rPr>
          <w:rFonts w:ascii="Times New Roman" w:hAnsi="Times New Roman"/>
          <w:i/>
        </w:rPr>
        <w:t>Studii de istorie a Transilvaniei</w:t>
      </w:r>
      <w:r w:rsidRPr="00DD4B52">
        <w:rPr>
          <w:rFonts w:ascii="Times New Roman" w:hAnsi="Times New Roman"/>
        </w:rPr>
        <w:t xml:space="preserve"> [Studi di storia della Transilvania],</w:t>
      </w:r>
      <w:r>
        <w:rPr>
          <w:rFonts w:ascii="Times New Roman" w:hAnsi="Times New Roman"/>
        </w:rPr>
        <w:t xml:space="preserve"> a cura di Ionuț Virgil Costea e Valentin Orga, Accent,</w:t>
      </w:r>
      <w:r w:rsidRPr="00141FD1">
        <w:rPr>
          <w:rFonts w:ascii="Times New Roman" w:hAnsi="Times New Roman"/>
        </w:rPr>
        <w:t xml:space="preserve"> Clu</w:t>
      </w:r>
      <w:r>
        <w:rPr>
          <w:rFonts w:ascii="Times New Roman" w:hAnsi="Times New Roman"/>
        </w:rPr>
        <w:t>j-Napoca 2000, pp. 231-244.</w:t>
      </w:r>
    </w:p>
  </w:footnote>
  <w:footnote w:id="32">
    <w:p w14:paraId="6BB39C68" w14:textId="375B4869" w:rsidR="00591B49" w:rsidRPr="00C947BB" w:rsidRDefault="00591B49" w:rsidP="006D6265">
      <w:pPr>
        <w:pStyle w:val="Testonotaapidipagina"/>
        <w:ind w:right="567"/>
        <w:jc w:val="both"/>
        <w:rPr>
          <w:rFonts w:ascii="Times New Roman" w:hAnsi="Times New Roman"/>
        </w:rPr>
      </w:pPr>
      <w:r w:rsidRPr="00C947BB">
        <w:rPr>
          <w:rStyle w:val="Rimandonotaapidipagina"/>
          <w:rFonts w:ascii="Times New Roman" w:hAnsi="Times New Roman"/>
        </w:rPr>
        <w:footnoteRef/>
      </w:r>
      <w:r w:rsidRPr="00C947BB">
        <w:rPr>
          <w:rFonts w:ascii="Times New Roman" w:hAnsi="Times New Roman"/>
          <w:lang w:val="en-US"/>
        </w:rPr>
        <w:t xml:space="preserve"> Sugli ideali e </w:t>
      </w:r>
      <w:r>
        <w:rPr>
          <w:rFonts w:ascii="Times New Roman" w:hAnsi="Times New Roman"/>
          <w:lang w:val="en-US"/>
        </w:rPr>
        <w:t>su</w:t>
      </w:r>
      <w:r w:rsidRPr="00C947BB">
        <w:rPr>
          <w:rFonts w:ascii="Times New Roman" w:hAnsi="Times New Roman"/>
          <w:lang w:val="en-US"/>
        </w:rPr>
        <w:t>gli obiettivi dei croati nella rivoluzione</w:t>
      </w:r>
      <w:r>
        <w:rPr>
          <w:rFonts w:ascii="Times New Roman" w:hAnsi="Times New Roman"/>
          <w:lang w:val="en-US"/>
        </w:rPr>
        <w:t xml:space="preserve"> ungherese del </w:t>
      </w:r>
      <w:r w:rsidRPr="00C947BB">
        <w:rPr>
          <w:rFonts w:ascii="Times New Roman" w:hAnsi="Times New Roman"/>
          <w:lang w:val="en-US"/>
        </w:rPr>
        <w:t>1848-</w:t>
      </w:r>
      <w:r>
        <w:rPr>
          <w:rFonts w:ascii="Times New Roman" w:hAnsi="Times New Roman"/>
          <w:lang w:val="en-US"/>
        </w:rPr>
        <w:t>18</w:t>
      </w:r>
      <w:r w:rsidRPr="00C947BB">
        <w:rPr>
          <w:rFonts w:ascii="Times New Roman" w:hAnsi="Times New Roman"/>
          <w:lang w:val="en-US"/>
        </w:rPr>
        <w:t>49</w:t>
      </w:r>
      <w:r>
        <w:rPr>
          <w:rFonts w:ascii="Times New Roman" w:hAnsi="Times New Roman"/>
          <w:lang w:val="en-US"/>
        </w:rPr>
        <w:t>,</w:t>
      </w:r>
      <w:r w:rsidRPr="00C947BB">
        <w:rPr>
          <w:rFonts w:ascii="Times New Roman" w:hAnsi="Times New Roman"/>
          <w:lang w:val="en-US"/>
        </w:rPr>
        <w:t xml:space="preserve"> vedi Tomislav Markus, </w:t>
      </w:r>
      <w:r w:rsidRPr="00C947BB">
        <w:rPr>
          <w:rFonts w:ascii="Times New Roman" w:hAnsi="Times New Roman"/>
          <w:i/>
          <w:lang w:val="en-US"/>
        </w:rPr>
        <w:t>Be</w:t>
      </w:r>
      <w:r>
        <w:rPr>
          <w:rFonts w:ascii="Times New Roman" w:hAnsi="Times New Roman"/>
          <w:i/>
          <w:lang w:val="en-US"/>
        </w:rPr>
        <w:t xml:space="preserve">tween Revolution and Legitimacy: </w:t>
      </w:r>
      <w:r w:rsidRPr="00C947BB">
        <w:rPr>
          <w:rFonts w:ascii="Times New Roman" w:hAnsi="Times New Roman"/>
          <w:i/>
          <w:lang w:val="en-US"/>
        </w:rPr>
        <w:t>the Croatian political Movement of 1848-49 and the Formation of Croatian National Identity</w:t>
      </w:r>
      <w:r>
        <w:rPr>
          <w:rFonts w:ascii="Times New Roman" w:hAnsi="Times New Roman"/>
          <w:lang w:val="en-US"/>
        </w:rPr>
        <w:t>,</w:t>
      </w:r>
      <w:r w:rsidRPr="00C947BB">
        <w:rPr>
          <w:rFonts w:ascii="Times New Roman" w:hAnsi="Times New Roman"/>
          <w:lang w:val="en-US"/>
        </w:rPr>
        <w:t xml:space="preserve"> “Review</w:t>
      </w:r>
      <w:r>
        <w:rPr>
          <w:rFonts w:ascii="Times New Roman" w:hAnsi="Times New Roman"/>
          <w:lang w:val="en-US"/>
        </w:rPr>
        <w:t xml:space="preserve"> of Croatian History”, n. 1 </w:t>
      </w:r>
      <w:r w:rsidRPr="00C947BB">
        <w:rPr>
          <w:rFonts w:ascii="Times New Roman" w:hAnsi="Times New Roman"/>
          <w:lang w:val="en-US"/>
        </w:rPr>
        <w:t xml:space="preserve">2009, pp. 13-45. </w:t>
      </w:r>
      <w:r w:rsidRPr="00C947BB">
        <w:rPr>
          <w:rFonts w:ascii="Times New Roman" w:hAnsi="Times New Roman"/>
        </w:rPr>
        <w:t>Per</w:t>
      </w:r>
      <w:r>
        <w:rPr>
          <w:rFonts w:ascii="Times New Roman" w:hAnsi="Times New Roman"/>
        </w:rPr>
        <w:t xml:space="preserve"> quanto riguarda</w:t>
      </w:r>
      <w:r w:rsidRPr="00C947BB">
        <w:rPr>
          <w:rFonts w:ascii="Times New Roman" w:hAnsi="Times New Roman"/>
        </w:rPr>
        <w:t xml:space="preserve"> la rivolta serbo-croata dell’estate 1848,</w:t>
      </w:r>
      <w:r>
        <w:rPr>
          <w:rFonts w:ascii="Times New Roman" w:hAnsi="Times New Roman"/>
        </w:rPr>
        <w:t xml:space="preserve"> invece, cfr.</w:t>
      </w:r>
      <w:r w:rsidRPr="00C947BB">
        <w:rPr>
          <w:rFonts w:ascii="Times New Roman" w:hAnsi="Times New Roman"/>
        </w:rPr>
        <w:t xml:space="preserve"> Gyula Kedves, </w:t>
      </w:r>
      <w:r w:rsidRPr="00C947BB">
        <w:rPr>
          <w:rFonts w:ascii="Times New Roman" w:hAnsi="Times New Roman"/>
          <w:i/>
        </w:rPr>
        <w:t>A szerb felkelés 1848 nyarán és a délvidéki hadműveletek a honvédcsapatok kivonásáig</w:t>
      </w:r>
      <w:r w:rsidRPr="00C947BB">
        <w:rPr>
          <w:rFonts w:ascii="Times New Roman" w:hAnsi="Times New Roman"/>
        </w:rPr>
        <w:t xml:space="preserve"> [L’insurrezione serba nell’estate 1848 e le operazioni militari nelle contrade meridionali fino allo sgombero delle truppe </w:t>
      </w:r>
      <w:r w:rsidRPr="00B10997">
        <w:rPr>
          <w:rFonts w:ascii="Times New Roman" w:hAnsi="Times New Roman"/>
        </w:rPr>
        <w:t>honvéd</w:t>
      </w:r>
      <w:r w:rsidRPr="00C947BB">
        <w:rPr>
          <w:rFonts w:ascii="Times New Roman" w:hAnsi="Times New Roman"/>
        </w:rPr>
        <w:t>]</w:t>
      </w:r>
      <w:r>
        <w:rPr>
          <w:rFonts w:ascii="Times New Roman" w:hAnsi="Times New Roman"/>
        </w:rPr>
        <w:t xml:space="preserve">, in </w:t>
      </w:r>
      <w:r w:rsidRPr="00C947BB">
        <w:rPr>
          <w:rFonts w:ascii="Times New Roman" w:hAnsi="Times New Roman"/>
          <w:i/>
        </w:rPr>
        <w:t>A szabadságharc katonai története</w:t>
      </w:r>
      <w:r w:rsidRPr="00C947BB">
        <w:rPr>
          <w:rFonts w:ascii="Times New Roman" w:hAnsi="Times New Roman"/>
        </w:rPr>
        <w:t xml:space="preserve"> [Storia militare della guerra di indipendenza],</w:t>
      </w:r>
      <w:r>
        <w:rPr>
          <w:rFonts w:ascii="Times New Roman" w:hAnsi="Times New Roman"/>
        </w:rPr>
        <w:t xml:space="preserve"> a cura di Robert Hermann,</w:t>
      </w:r>
      <w:r w:rsidRPr="00C947BB">
        <w:rPr>
          <w:rFonts w:ascii="Times New Roman" w:hAnsi="Times New Roman"/>
        </w:rPr>
        <w:t xml:space="preserve"> Zrínyi Ki</w:t>
      </w:r>
      <w:r>
        <w:rPr>
          <w:rFonts w:ascii="Times New Roman" w:hAnsi="Times New Roman"/>
        </w:rPr>
        <w:t>adó, Budapest 1998, pp. 103-130.</w:t>
      </w:r>
    </w:p>
  </w:footnote>
  <w:footnote w:id="33">
    <w:p w14:paraId="31D5F8BB" w14:textId="4E2EE705" w:rsidR="00591B49" w:rsidRPr="005773AE" w:rsidRDefault="00591B49" w:rsidP="00484A08">
      <w:pPr>
        <w:pStyle w:val="Testonotaapidipagina"/>
        <w:ind w:right="567"/>
        <w:jc w:val="both"/>
        <w:rPr>
          <w:rFonts w:ascii="Times New Roman" w:hAnsi="Times New Roman"/>
        </w:rPr>
      </w:pPr>
      <w:r>
        <w:rPr>
          <w:rStyle w:val="Rimandonotaapidipagina"/>
        </w:rPr>
        <w:footnoteRef/>
      </w:r>
      <w:r>
        <w:t xml:space="preserve"> </w:t>
      </w:r>
      <w:r w:rsidRPr="005773AE">
        <w:rPr>
          <w:rFonts w:ascii="Times New Roman" w:hAnsi="Times New Roman"/>
        </w:rPr>
        <w:t>Lo storico Alan Sked ritiene che vada attribuita ai croati gran parte della responsabilità del peggiorare dei rapporti fra Pest-Buda e Vienna. Sottolinea i ripetuti tentativi degli ungheresi di venire incontro alle rivendicazioni croate, così come la disponibilità a lasciare libera la Croazia dal legame con l’Ungheria costituzionale. Dal loro punto di vista i croati, con alla testa il bano Josip Jelačić, volevano l’unità dell’impero nel rispetto delle loro prerogative nazionali e rifiu</w:t>
      </w:r>
      <w:r>
        <w:rPr>
          <w:rFonts w:ascii="Times New Roman" w:hAnsi="Times New Roman"/>
        </w:rPr>
        <w:t xml:space="preserve">tavano la concezione autonomistica degli ungheresi. A. Sked, </w:t>
      </w:r>
      <w:r w:rsidRPr="00484A08">
        <w:rPr>
          <w:rFonts w:ascii="Times New Roman" w:hAnsi="Times New Roman"/>
          <w:i/>
        </w:rPr>
        <w:t>Grandezza e caduta dell’impero asburgico</w:t>
      </w:r>
      <w:r>
        <w:rPr>
          <w:rFonts w:ascii="Times New Roman" w:hAnsi="Times New Roman"/>
        </w:rPr>
        <w:t xml:space="preserve"> </w:t>
      </w:r>
      <w:r w:rsidRPr="00484A08">
        <w:rPr>
          <w:rFonts w:ascii="Times New Roman" w:hAnsi="Times New Roman"/>
          <w:i/>
        </w:rPr>
        <w:t>1815-1918</w:t>
      </w:r>
      <w:r>
        <w:rPr>
          <w:rFonts w:ascii="Times New Roman" w:hAnsi="Times New Roman"/>
        </w:rPr>
        <w:t xml:space="preserve">, Laterza, Bari 1992, cap. III, </w:t>
      </w:r>
      <w:r w:rsidRPr="00484A08">
        <w:rPr>
          <w:rFonts w:ascii="Times New Roman" w:hAnsi="Times New Roman"/>
          <w:i/>
        </w:rPr>
        <w:t>Il fallimento delle r</w:t>
      </w:r>
      <w:r>
        <w:rPr>
          <w:rFonts w:ascii="Times New Roman" w:hAnsi="Times New Roman"/>
          <w:i/>
        </w:rPr>
        <w:t>iv</w:t>
      </w:r>
      <w:r w:rsidRPr="00484A08">
        <w:rPr>
          <w:rFonts w:ascii="Times New Roman" w:hAnsi="Times New Roman"/>
          <w:i/>
        </w:rPr>
        <w:t>oluzioni del 1848</w:t>
      </w:r>
      <w:r>
        <w:rPr>
          <w:rFonts w:ascii="Times New Roman" w:hAnsi="Times New Roman"/>
        </w:rPr>
        <w:t>, pp. 85-133; in particolare pp. 94-95.</w:t>
      </w:r>
      <w:r w:rsidRPr="005773AE">
        <w:rPr>
          <w:rFonts w:ascii="Times New Roman" w:hAnsi="Times New Roman"/>
        </w:rPr>
        <w:t xml:space="preserve"> </w:t>
      </w:r>
    </w:p>
  </w:footnote>
  <w:footnote w:id="34">
    <w:p w14:paraId="302B8A08" w14:textId="39FB1C42" w:rsidR="00591B49" w:rsidRPr="00C07D35" w:rsidRDefault="00591B49" w:rsidP="00C07D35">
      <w:pPr>
        <w:pStyle w:val="Testonotaapidipagina"/>
        <w:ind w:right="567"/>
        <w:jc w:val="both"/>
        <w:rPr>
          <w:rFonts w:ascii="Times New Roman" w:hAnsi="Times New Roman"/>
        </w:rPr>
      </w:pPr>
      <w:r w:rsidRPr="00C07D35">
        <w:rPr>
          <w:rStyle w:val="Rimandonotaapidipagina"/>
          <w:rFonts w:ascii="Times New Roman" w:hAnsi="Times New Roman"/>
        </w:rPr>
        <w:footnoteRef/>
      </w:r>
      <w:r w:rsidRPr="00C07D35">
        <w:rPr>
          <w:rFonts w:ascii="Times New Roman" w:hAnsi="Times New Roman"/>
        </w:rPr>
        <w:t xml:space="preserve"> </w:t>
      </w:r>
      <w:r>
        <w:rPr>
          <w:rFonts w:ascii="Times New Roman" w:hAnsi="Times New Roman"/>
        </w:rPr>
        <w:t xml:space="preserve">Sui rapporti tra i serbi e la rivoluzione ungherese, </w:t>
      </w:r>
      <w:r w:rsidRPr="00C07D35">
        <w:rPr>
          <w:rFonts w:ascii="Times New Roman" w:hAnsi="Times New Roman"/>
        </w:rPr>
        <w:t xml:space="preserve">Slavko Gavrilović, </w:t>
      </w:r>
      <w:r w:rsidRPr="00C07D35">
        <w:rPr>
          <w:rFonts w:ascii="Times New Roman" w:hAnsi="Times New Roman"/>
          <w:i/>
        </w:rPr>
        <w:t>1848 néhány problémája a Vajdaságban</w:t>
      </w:r>
      <w:r w:rsidRPr="00C07D35">
        <w:rPr>
          <w:rFonts w:ascii="Times New Roman" w:hAnsi="Times New Roman"/>
        </w:rPr>
        <w:t xml:space="preserve"> </w:t>
      </w:r>
      <w:r>
        <w:rPr>
          <w:rFonts w:ascii="Arial Narrow" w:hAnsi="Arial Narrow"/>
        </w:rPr>
        <w:t>[</w:t>
      </w:r>
      <w:r>
        <w:rPr>
          <w:rFonts w:ascii="Times New Roman" w:hAnsi="Times New Roman"/>
        </w:rPr>
        <w:t>Alcuni problemi sul 1848 in Voivodina</w:t>
      </w:r>
      <w:r>
        <w:rPr>
          <w:rFonts w:ascii="Arial Narrow" w:hAnsi="Arial Narrow"/>
        </w:rPr>
        <w:t>]</w:t>
      </w:r>
      <w:r>
        <w:rPr>
          <w:rFonts w:ascii="Times New Roman" w:hAnsi="Times New Roman"/>
        </w:rPr>
        <w:t xml:space="preserve">, </w:t>
      </w:r>
      <w:r w:rsidRPr="00C07D35">
        <w:rPr>
          <w:rFonts w:ascii="Times New Roman" w:hAnsi="Times New Roman"/>
        </w:rPr>
        <w:t>in Istvá</w:t>
      </w:r>
      <w:r>
        <w:rPr>
          <w:rFonts w:ascii="Times New Roman" w:hAnsi="Times New Roman"/>
        </w:rPr>
        <w:t>n Fried (</w:t>
      </w:r>
      <w:r w:rsidRPr="00C07D35">
        <w:rPr>
          <w:rFonts w:ascii="Times New Roman" w:hAnsi="Times New Roman"/>
        </w:rPr>
        <w:t>a cura di</w:t>
      </w:r>
      <w:r w:rsidRPr="00C07D35">
        <w:rPr>
          <w:rFonts w:ascii="Times New Roman" w:hAnsi="Times New Roman"/>
          <w:i/>
        </w:rPr>
        <w:t>), Szerbek és magyarok a Duna mentén, II, Tanulmányok a szerb-magyar kapcsolatok köréből</w:t>
      </w:r>
      <w:r w:rsidRPr="00C07D35">
        <w:rPr>
          <w:rFonts w:ascii="Times New Roman" w:hAnsi="Times New Roman"/>
        </w:rPr>
        <w:t xml:space="preserve"> </w:t>
      </w:r>
      <w:r w:rsidRPr="00C07D35">
        <w:rPr>
          <w:rFonts w:ascii="Times New Roman" w:hAnsi="Times New Roman"/>
          <w:i/>
        </w:rPr>
        <w:t>(1848-1867)</w:t>
      </w:r>
      <w:r w:rsidRPr="00C07D35">
        <w:rPr>
          <w:rFonts w:ascii="Times New Roman" w:hAnsi="Times New Roman"/>
        </w:rPr>
        <w:t xml:space="preserve"> [Serbi e ungheresi lun</w:t>
      </w:r>
      <w:r>
        <w:rPr>
          <w:rFonts w:ascii="Times New Roman" w:hAnsi="Times New Roman"/>
        </w:rPr>
        <w:t>go il Danubio. Studi su</w:t>
      </w:r>
      <w:r w:rsidRPr="00C07D35">
        <w:rPr>
          <w:rFonts w:ascii="Times New Roman" w:hAnsi="Times New Roman"/>
        </w:rPr>
        <w:t>lle relazioni serbo-ungheresi 1848-1867], Akadémiai Kiadó, Budapest 1987, pp.</w:t>
      </w:r>
      <w:r>
        <w:rPr>
          <w:rFonts w:ascii="Times New Roman" w:hAnsi="Times New Roman"/>
        </w:rPr>
        <w:t xml:space="preserve"> 227-237. </w:t>
      </w:r>
      <w:r w:rsidRPr="00C07D35">
        <w:rPr>
          <w:rFonts w:ascii="Times New Roman" w:hAnsi="Times New Roman"/>
        </w:rPr>
        <w:t xml:space="preserve">  </w:t>
      </w:r>
    </w:p>
  </w:footnote>
  <w:footnote w:id="35">
    <w:p w14:paraId="648427D5" w14:textId="77777777" w:rsidR="00591B49" w:rsidRPr="00C947BB" w:rsidRDefault="00591B49" w:rsidP="006D6265">
      <w:pPr>
        <w:pStyle w:val="Testonotaapidipagina"/>
        <w:ind w:right="567"/>
        <w:jc w:val="both"/>
        <w:rPr>
          <w:rFonts w:ascii="Times New Roman" w:hAnsi="Times New Roman"/>
        </w:rPr>
      </w:pPr>
      <w:r w:rsidRPr="00C947BB">
        <w:rPr>
          <w:rStyle w:val="Rimandonotaapidipagina"/>
          <w:rFonts w:ascii="Times New Roman" w:hAnsi="Times New Roman"/>
        </w:rPr>
        <w:footnoteRef/>
      </w:r>
      <w:r w:rsidRPr="00C947BB">
        <w:rPr>
          <w:rFonts w:ascii="Times New Roman" w:hAnsi="Times New Roman"/>
        </w:rPr>
        <w:t xml:space="preserve"> All’epoca la Russia non aveva manifeste ambizioni </w:t>
      </w:r>
      <w:r w:rsidRPr="00C042A7">
        <w:rPr>
          <w:rFonts w:ascii="Times New Roman" w:hAnsi="Times New Roman"/>
        </w:rPr>
        <w:t>balcaniche,</w:t>
      </w:r>
      <w:r w:rsidRPr="00C947BB">
        <w:rPr>
          <w:rFonts w:ascii="Times New Roman" w:hAnsi="Times New Roman"/>
        </w:rPr>
        <w:t xml:space="preserve"> tali da porre l’impero zarista in rotta di collisione con quello asburgico in un’area dai fragili equilibri geopolitici. L’intervento russo in Ungheria è stato attentamente studiato da Ildikó Rosonczy, partendo dalla raccolta, traduzione e pubblicazione di memorie coeve: </w:t>
      </w:r>
      <w:r>
        <w:rPr>
          <w:rFonts w:ascii="Times New Roman" w:hAnsi="Times New Roman"/>
        </w:rPr>
        <w:t xml:space="preserve">vedi </w:t>
      </w:r>
      <w:r w:rsidRPr="00C947BB">
        <w:rPr>
          <w:rFonts w:ascii="Times New Roman" w:hAnsi="Times New Roman"/>
        </w:rPr>
        <w:t>Ildikó Rosonczy</w:t>
      </w:r>
      <w:r>
        <w:rPr>
          <w:rFonts w:ascii="Times New Roman" w:hAnsi="Times New Roman"/>
        </w:rPr>
        <w:t>,</w:t>
      </w:r>
      <w:r w:rsidRPr="00C947BB">
        <w:rPr>
          <w:rFonts w:ascii="Times New Roman" w:hAnsi="Times New Roman"/>
          <w:i/>
        </w:rPr>
        <w:t xml:space="preserve"> A magyarországi hadjárat 1849. Orosz szemtanúk a magyar szabadságharcról</w:t>
      </w:r>
      <w:r w:rsidRPr="00C947BB">
        <w:rPr>
          <w:rFonts w:ascii="Times New Roman" w:hAnsi="Times New Roman"/>
        </w:rPr>
        <w:t>, [La campagna ungherese del 1849. Testimoni oculari russi della guerra d’indipendenza ungherese], Európa könyvkiadó, Budapest 1988. Il risultato più recente</w:t>
      </w:r>
      <w:r>
        <w:rPr>
          <w:rFonts w:ascii="Times New Roman" w:hAnsi="Times New Roman"/>
        </w:rPr>
        <w:t>, invece,</w:t>
      </w:r>
      <w:r w:rsidRPr="00C947BB">
        <w:rPr>
          <w:rFonts w:ascii="Times New Roman" w:hAnsi="Times New Roman"/>
        </w:rPr>
        <w:t xml:space="preserve"> è la raccolta</w:t>
      </w:r>
      <w:r>
        <w:rPr>
          <w:rFonts w:ascii="Times New Roman" w:hAnsi="Times New Roman"/>
        </w:rPr>
        <w:t xml:space="preserve"> sempre a cura di </w:t>
      </w:r>
      <w:r w:rsidRPr="00C947BB">
        <w:rPr>
          <w:rFonts w:ascii="Times New Roman" w:hAnsi="Times New Roman"/>
        </w:rPr>
        <w:t>Ildikó Rosonczy</w:t>
      </w:r>
      <w:r>
        <w:rPr>
          <w:rFonts w:ascii="Times New Roman" w:hAnsi="Times New Roman"/>
        </w:rPr>
        <w:t>,</w:t>
      </w:r>
      <w:r w:rsidRPr="00C947BB">
        <w:rPr>
          <w:rFonts w:ascii="Times New Roman" w:hAnsi="Times New Roman"/>
        </w:rPr>
        <w:t xml:space="preserve"> </w:t>
      </w:r>
      <w:r w:rsidRPr="00C947BB">
        <w:rPr>
          <w:rFonts w:ascii="Times New Roman" w:hAnsi="Times New Roman"/>
          <w:i/>
        </w:rPr>
        <w:t>Orosz fegyverekkel Ferenc Józsefért. Tanulmányok I. Miklós 1849-es magyarországi beavatkozásáról</w:t>
      </w:r>
      <w:r w:rsidRPr="00C947BB">
        <w:rPr>
          <w:rFonts w:ascii="Times New Roman" w:hAnsi="Times New Roman"/>
        </w:rPr>
        <w:t xml:space="preserve"> [Con le armi russe per Francesco Giuseppe. Studi sull’intervento di Nicola I in Ungheria nel 1849</w:t>
      </w:r>
      <w:r>
        <w:rPr>
          <w:rFonts w:ascii="Times New Roman" w:hAnsi="Times New Roman"/>
        </w:rPr>
        <w:t>], Magyar Napló, Budapest 2016.</w:t>
      </w:r>
    </w:p>
  </w:footnote>
  <w:footnote w:id="36">
    <w:p w14:paraId="3CF8FF81" w14:textId="77777777" w:rsidR="00591B49" w:rsidRPr="002A00A3" w:rsidRDefault="00591B49" w:rsidP="002A00A3">
      <w:pPr>
        <w:pStyle w:val="Testonotaapidipagina"/>
        <w:ind w:right="567"/>
        <w:jc w:val="both"/>
        <w:rPr>
          <w:rFonts w:ascii="Times New Roman" w:hAnsi="Times New Roman"/>
        </w:rPr>
      </w:pPr>
      <w:r w:rsidRPr="002A00A3">
        <w:rPr>
          <w:rStyle w:val="Rimandonotaapidipagina"/>
          <w:rFonts w:ascii="Times New Roman" w:hAnsi="Times New Roman"/>
        </w:rPr>
        <w:footnoteRef/>
      </w:r>
      <w:r w:rsidRPr="002A00A3">
        <w:rPr>
          <w:rFonts w:ascii="Times New Roman" w:hAnsi="Times New Roman"/>
        </w:rPr>
        <w:t xml:space="preserve"> Domokos Kosári, </w:t>
      </w:r>
      <w:r w:rsidRPr="002A00A3">
        <w:rPr>
          <w:rFonts w:ascii="Times New Roman" w:hAnsi="Times New Roman"/>
          <w:i/>
        </w:rPr>
        <w:t>Magyarország és a nemzetközi politika 1848-1849-ben</w:t>
      </w:r>
      <w:r w:rsidRPr="002A00A3">
        <w:rPr>
          <w:rFonts w:ascii="Times New Roman" w:hAnsi="Times New Roman"/>
        </w:rPr>
        <w:t xml:space="preserve">, </w:t>
      </w:r>
      <w:r>
        <w:rPr>
          <w:rFonts w:ascii="Arial Narrow" w:hAnsi="Arial Narrow"/>
        </w:rPr>
        <w:t>[</w:t>
      </w:r>
      <w:r>
        <w:rPr>
          <w:rFonts w:ascii="Times New Roman" w:hAnsi="Times New Roman"/>
        </w:rPr>
        <w:t>L’Ungheria e la politica internazionale nel 1848-49</w:t>
      </w:r>
      <w:r>
        <w:rPr>
          <w:rFonts w:ascii="Arial Narrow" w:hAnsi="Arial Narrow"/>
        </w:rPr>
        <w:t>]</w:t>
      </w:r>
      <w:r>
        <w:rPr>
          <w:rFonts w:ascii="Times New Roman" w:hAnsi="Times New Roman"/>
        </w:rPr>
        <w:t xml:space="preserve">, </w:t>
      </w:r>
      <w:r w:rsidRPr="00AD7E9B">
        <w:rPr>
          <w:rFonts w:ascii="Times New Roman" w:hAnsi="Times New Roman"/>
        </w:rPr>
        <w:t>MTA Történettudományi Intézet [Istituto di Scienze storiche dell’Accademia ungherese delle Scienze</w:t>
      </w:r>
      <w:r>
        <w:rPr>
          <w:rFonts w:ascii="Arial Narrow" w:hAnsi="Arial Narrow"/>
        </w:rPr>
        <w:t>]</w:t>
      </w:r>
      <w:r w:rsidRPr="00AD7E9B">
        <w:rPr>
          <w:rFonts w:ascii="Times New Roman" w:hAnsi="Times New Roman"/>
        </w:rPr>
        <w:t xml:space="preserve"> Budapest 1999,</w:t>
      </w:r>
      <w:r w:rsidRPr="002A00A3">
        <w:rPr>
          <w:rFonts w:ascii="Times New Roman" w:hAnsi="Times New Roman"/>
        </w:rPr>
        <w:t xml:space="preserve"> 22. Fejezet/cap. </w:t>
      </w:r>
      <w:r w:rsidRPr="002A00A3">
        <w:rPr>
          <w:rFonts w:ascii="Times New Roman" w:hAnsi="Times New Roman"/>
          <w:i/>
        </w:rPr>
        <w:t>Anglia és Magyarország</w:t>
      </w:r>
      <w:r>
        <w:rPr>
          <w:rFonts w:ascii="Times New Roman" w:hAnsi="Times New Roman"/>
        </w:rPr>
        <w:t xml:space="preserve"> </w:t>
      </w:r>
      <w:r>
        <w:rPr>
          <w:rFonts w:ascii="Arial Narrow" w:hAnsi="Arial Narrow"/>
        </w:rPr>
        <w:t>[</w:t>
      </w:r>
      <w:r>
        <w:rPr>
          <w:rFonts w:ascii="Times New Roman" w:hAnsi="Times New Roman"/>
        </w:rPr>
        <w:t>l’Ungheria e l’Inghilterra</w:t>
      </w:r>
      <w:r>
        <w:rPr>
          <w:rFonts w:ascii="Arial Narrow" w:hAnsi="Arial Narrow"/>
        </w:rPr>
        <w:t>]</w:t>
      </w:r>
      <w:r>
        <w:rPr>
          <w:rFonts w:ascii="Times New Roman" w:hAnsi="Times New Roman"/>
        </w:rPr>
        <w:t>, pp. 220</w:t>
      </w:r>
      <w:r w:rsidRPr="002A00A3">
        <w:rPr>
          <w:rFonts w:ascii="Times New Roman" w:hAnsi="Times New Roman"/>
        </w:rPr>
        <w:t>-</w:t>
      </w:r>
      <w:r>
        <w:rPr>
          <w:rFonts w:ascii="Times New Roman" w:hAnsi="Times New Roman"/>
        </w:rPr>
        <w:t xml:space="preserve"> 276.</w:t>
      </w:r>
      <w:r w:rsidRPr="002A00A3">
        <w:rPr>
          <w:rFonts w:ascii="Times New Roman" w:hAnsi="Times New Roman"/>
        </w:rPr>
        <w:t xml:space="preserve"> </w:t>
      </w:r>
    </w:p>
  </w:footnote>
  <w:footnote w:id="37">
    <w:p w14:paraId="376ECBA2" w14:textId="77777777" w:rsidR="00591B49" w:rsidRPr="00C947BB" w:rsidRDefault="00591B49" w:rsidP="006D6265">
      <w:pPr>
        <w:pStyle w:val="Testonotaapidipagina"/>
        <w:ind w:right="567"/>
        <w:jc w:val="both"/>
        <w:rPr>
          <w:rFonts w:ascii="Times New Roman" w:hAnsi="Times New Roman"/>
        </w:rPr>
      </w:pPr>
      <w:r w:rsidRPr="00C947BB">
        <w:rPr>
          <w:rStyle w:val="Rimandonotaapidipagina"/>
          <w:rFonts w:ascii="Times New Roman" w:hAnsi="Times New Roman"/>
        </w:rPr>
        <w:footnoteRef/>
      </w:r>
      <w:r w:rsidRPr="00C947BB">
        <w:rPr>
          <w:rFonts w:ascii="Times New Roman" w:hAnsi="Times New Roman"/>
        </w:rPr>
        <w:t xml:space="preserve"> Su</w:t>
      </w:r>
      <w:r>
        <w:rPr>
          <w:rFonts w:ascii="Times New Roman" w:hAnsi="Times New Roman"/>
        </w:rPr>
        <w:t>lla fase finale della guerra d’</w:t>
      </w:r>
      <w:r w:rsidRPr="00C947BB">
        <w:rPr>
          <w:rFonts w:ascii="Times New Roman" w:hAnsi="Times New Roman"/>
        </w:rPr>
        <w:t xml:space="preserve">indipendenza del 1849 vedi Róbert Hermann, </w:t>
      </w:r>
      <w:r w:rsidRPr="00C947BB">
        <w:rPr>
          <w:rFonts w:ascii="Times New Roman" w:hAnsi="Times New Roman"/>
          <w:i/>
        </w:rPr>
        <w:t>“Tenni kevés, de halni volt esély”. Az 1849. Évi nyári hadjárat</w:t>
      </w:r>
      <w:r w:rsidRPr="00C947BB">
        <w:rPr>
          <w:rFonts w:ascii="Times New Roman" w:hAnsi="Times New Roman"/>
        </w:rPr>
        <w:t>, [“Si poteva far</w:t>
      </w:r>
      <w:r>
        <w:rPr>
          <w:rFonts w:ascii="Times New Roman" w:hAnsi="Times New Roman"/>
        </w:rPr>
        <w:t>e</w:t>
      </w:r>
      <w:r w:rsidRPr="00C947BB">
        <w:rPr>
          <w:rFonts w:ascii="Times New Roman" w:hAnsi="Times New Roman"/>
        </w:rPr>
        <w:t xml:space="preserve"> ben poco, se non morire”. </w:t>
      </w:r>
      <w:r>
        <w:rPr>
          <w:rFonts w:ascii="Times New Roman" w:hAnsi="Times New Roman"/>
        </w:rPr>
        <w:t>La campagna estiva del 1849],</w:t>
      </w:r>
      <w:r w:rsidRPr="00C947BB">
        <w:rPr>
          <w:rFonts w:ascii="Times New Roman" w:hAnsi="Times New Roman"/>
        </w:rPr>
        <w:t xml:space="preserve"> </w:t>
      </w:r>
      <w:r w:rsidRPr="00C042A7">
        <w:rPr>
          <w:rFonts w:ascii="Times New Roman" w:hAnsi="Times New Roman"/>
        </w:rPr>
        <w:t>“Hadtörténelmi Közlemények” [Contributi di Storia militare]</w:t>
      </w:r>
      <w:r>
        <w:rPr>
          <w:rFonts w:ascii="Times New Roman" w:hAnsi="Times New Roman"/>
        </w:rPr>
        <w:t>, n. 2 1999,</w:t>
      </w:r>
      <w:r w:rsidRPr="00C947BB">
        <w:rPr>
          <w:rFonts w:ascii="Times New Roman" w:hAnsi="Times New Roman"/>
        </w:rPr>
        <w:t xml:space="preserve"> pp. 223-276.</w:t>
      </w:r>
    </w:p>
  </w:footnote>
  <w:footnote w:id="38">
    <w:p w14:paraId="3086E28A" w14:textId="77777777" w:rsidR="00591B49" w:rsidRPr="00C947BB" w:rsidRDefault="00591B49" w:rsidP="006D6265">
      <w:pPr>
        <w:spacing w:after="0" w:line="240" w:lineRule="auto"/>
        <w:ind w:right="567"/>
        <w:jc w:val="both"/>
        <w:rPr>
          <w:rFonts w:ascii="Times New Roman" w:hAnsi="Times New Roman"/>
          <w:sz w:val="20"/>
          <w:szCs w:val="20"/>
        </w:rPr>
      </w:pPr>
      <w:r w:rsidRPr="00C947BB">
        <w:rPr>
          <w:rStyle w:val="Rimandonotaapidipagina"/>
          <w:rFonts w:ascii="Times New Roman" w:hAnsi="Times New Roman"/>
          <w:sz w:val="20"/>
          <w:szCs w:val="20"/>
        </w:rPr>
        <w:footnoteRef/>
      </w:r>
      <w:r>
        <w:rPr>
          <w:rFonts w:ascii="Times New Roman" w:hAnsi="Times New Roman"/>
          <w:sz w:val="20"/>
          <w:szCs w:val="20"/>
        </w:rPr>
        <w:t xml:space="preserve"> La migliore e più recente</w:t>
      </w:r>
      <w:r w:rsidRPr="00C947BB">
        <w:rPr>
          <w:rFonts w:ascii="Times New Roman" w:hAnsi="Times New Roman"/>
          <w:sz w:val="20"/>
          <w:szCs w:val="20"/>
        </w:rPr>
        <w:t xml:space="preserve"> biografia</w:t>
      </w:r>
      <w:r>
        <w:rPr>
          <w:rFonts w:ascii="Times New Roman" w:hAnsi="Times New Roman"/>
          <w:sz w:val="20"/>
          <w:szCs w:val="20"/>
        </w:rPr>
        <w:t xml:space="preserve"> sulla figura dell’I</w:t>
      </w:r>
      <w:r w:rsidRPr="00C947BB">
        <w:rPr>
          <w:rFonts w:ascii="Times New Roman" w:hAnsi="Times New Roman"/>
          <w:sz w:val="20"/>
          <w:szCs w:val="20"/>
        </w:rPr>
        <w:t>mperatore simbolo dell’ultimo secolo asburgico</w:t>
      </w:r>
      <w:r>
        <w:rPr>
          <w:rFonts w:ascii="Times New Roman" w:hAnsi="Times New Roman"/>
          <w:sz w:val="20"/>
          <w:szCs w:val="20"/>
        </w:rPr>
        <w:t>,</w:t>
      </w:r>
      <w:r w:rsidRPr="00C947BB">
        <w:rPr>
          <w:rFonts w:ascii="Times New Roman" w:hAnsi="Times New Roman"/>
          <w:sz w:val="20"/>
          <w:szCs w:val="20"/>
        </w:rPr>
        <w:t xml:space="preserve"> è di Lothar Höbelt,</w:t>
      </w:r>
      <w:r w:rsidRPr="00C947BB">
        <w:rPr>
          <w:rFonts w:ascii="Times New Roman" w:hAnsi="Times New Roman"/>
          <w:i/>
          <w:sz w:val="20"/>
          <w:szCs w:val="20"/>
        </w:rPr>
        <w:t xml:space="preserve"> Franz Joseph I. Der Kaiser und sein Reich. Eine politische Geschichte </w:t>
      </w:r>
      <w:r w:rsidRPr="00AD4055">
        <w:rPr>
          <w:rFonts w:ascii="Times New Roman" w:hAnsi="Times New Roman"/>
          <w:sz w:val="20"/>
          <w:szCs w:val="20"/>
        </w:rPr>
        <w:t>[Francesco Giuseppe I. L’Imperatore e il suo Stato. Una storia politica],</w:t>
      </w:r>
      <w:r w:rsidRPr="00C947BB">
        <w:rPr>
          <w:rFonts w:ascii="Times New Roman" w:hAnsi="Times New Roman"/>
          <w:sz w:val="20"/>
          <w:szCs w:val="20"/>
        </w:rPr>
        <w:t xml:space="preserve"> Böhlau Verlag, Wien-Köln-Weimar 2009. Il punto di vista ungherese</w:t>
      </w:r>
      <w:r>
        <w:rPr>
          <w:rFonts w:ascii="Times New Roman" w:hAnsi="Times New Roman"/>
          <w:sz w:val="20"/>
          <w:szCs w:val="20"/>
        </w:rPr>
        <w:t>, invece,</w:t>
      </w:r>
      <w:r w:rsidRPr="00C947BB">
        <w:rPr>
          <w:rFonts w:ascii="Times New Roman" w:hAnsi="Times New Roman"/>
          <w:sz w:val="20"/>
          <w:szCs w:val="20"/>
        </w:rPr>
        <w:t xml:space="preserve"> si compendia nel saggio di Ėva Somogyi, </w:t>
      </w:r>
      <w:r w:rsidRPr="00C947BB">
        <w:rPr>
          <w:rFonts w:ascii="Times New Roman" w:hAnsi="Times New Roman"/>
          <w:i/>
          <w:sz w:val="20"/>
          <w:szCs w:val="20"/>
        </w:rPr>
        <w:t>Ferenc József</w:t>
      </w:r>
      <w:r w:rsidRPr="00C947BB">
        <w:rPr>
          <w:rFonts w:ascii="Times New Roman" w:hAnsi="Times New Roman"/>
          <w:sz w:val="20"/>
          <w:szCs w:val="20"/>
        </w:rPr>
        <w:t>, [Francesco Giuseppe], Gondolat, Budapest 1989.</w:t>
      </w:r>
    </w:p>
  </w:footnote>
  <w:footnote w:id="39">
    <w:p w14:paraId="3B6293B1" w14:textId="6DCB7F37" w:rsidR="00591B49" w:rsidRPr="00A10B92" w:rsidRDefault="00591B49" w:rsidP="006D6265">
      <w:pPr>
        <w:pStyle w:val="Testonotaapidipagina"/>
        <w:ind w:right="567"/>
        <w:jc w:val="both"/>
        <w:rPr>
          <w:rFonts w:ascii="Times New Roman" w:hAnsi="Times New Roman"/>
          <w:lang w:val="en-US"/>
        </w:rPr>
      </w:pPr>
      <w:r w:rsidRPr="00C947BB">
        <w:rPr>
          <w:rStyle w:val="Rimandonotaapidipagina"/>
          <w:rFonts w:ascii="Times New Roman" w:hAnsi="Times New Roman"/>
        </w:rPr>
        <w:footnoteRef/>
      </w:r>
      <w:r>
        <w:rPr>
          <w:rFonts w:ascii="Times New Roman" w:hAnsi="Times New Roman"/>
        </w:rPr>
        <w:t xml:space="preserve"> Il Macartney rileva come i “comuni”</w:t>
      </w:r>
      <w:r w:rsidRPr="00C947BB">
        <w:rPr>
          <w:rFonts w:ascii="Times New Roman" w:hAnsi="Times New Roman"/>
        </w:rPr>
        <w:t xml:space="preserve"> di Stadion non fossero da intendersi nella consueta accezione, ma costituissero un sistema basico di enti locali (</w:t>
      </w:r>
      <w:r w:rsidRPr="00C947BB">
        <w:rPr>
          <w:rFonts w:ascii="Times New Roman" w:hAnsi="Times New Roman"/>
          <w:i/>
        </w:rPr>
        <w:t>Ortsgemeinden</w:t>
      </w:r>
      <w:r>
        <w:rPr>
          <w:rFonts w:ascii="Times New Roman" w:hAnsi="Times New Roman"/>
        </w:rPr>
        <w:t>), sovrastati dai comuni di “distretto”</w:t>
      </w:r>
      <w:r w:rsidRPr="00C947BB">
        <w:rPr>
          <w:rFonts w:ascii="Times New Roman" w:hAnsi="Times New Roman"/>
        </w:rPr>
        <w:t xml:space="preserve"> (</w:t>
      </w:r>
      <w:r w:rsidRPr="00C947BB">
        <w:rPr>
          <w:rFonts w:ascii="Times New Roman" w:hAnsi="Times New Roman"/>
          <w:i/>
        </w:rPr>
        <w:t>Bezirke</w:t>
      </w:r>
      <w:r w:rsidRPr="00C947BB">
        <w:rPr>
          <w:rFonts w:ascii="Times New Roman" w:hAnsi="Times New Roman"/>
        </w:rPr>
        <w:t>) e u</w:t>
      </w:r>
      <w:r>
        <w:rPr>
          <w:rFonts w:ascii="Times New Roman" w:hAnsi="Times New Roman"/>
        </w:rPr>
        <w:t>lteriormente da</w:t>
      </w:r>
      <w:r w:rsidRPr="00C947BB">
        <w:rPr>
          <w:rFonts w:ascii="Times New Roman" w:hAnsi="Times New Roman"/>
        </w:rPr>
        <w:t xml:space="preserve"> superiori circoli amministrativi (</w:t>
      </w:r>
      <w:r w:rsidRPr="00C947BB">
        <w:rPr>
          <w:rFonts w:ascii="Times New Roman" w:hAnsi="Times New Roman"/>
          <w:i/>
        </w:rPr>
        <w:t>Kreise</w:t>
      </w:r>
      <w:r>
        <w:rPr>
          <w:rFonts w:ascii="Times New Roman" w:hAnsi="Times New Roman"/>
        </w:rPr>
        <w:t>), ognuno dotato di propri Consigli. I C</w:t>
      </w:r>
      <w:r w:rsidRPr="00C947BB">
        <w:rPr>
          <w:rFonts w:ascii="Times New Roman" w:hAnsi="Times New Roman"/>
        </w:rPr>
        <w:t>onsigli comu</w:t>
      </w:r>
      <w:r>
        <w:rPr>
          <w:rFonts w:ascii="Times New Roman" w:hAnsi="Times New Roman"/>
        </w:rPr>
        <w:t>nali locali avrebbero eletto i C</w:t>
      </w:r>
      <w:r w:rsidRPr="00C947BB">
        <w:rPr>
          <w:rFonts w:ascii="Times New Roman" w:hAnsi="Times New Roman"/>
        </w:rPr>
        <w:t>onsigli di distretto, che a loro volta avrebbe</w:t>
      </w:r>
      <w:r>
        <w:rPr>
          <w:rFonts w:ascii="Times New Roman" w:hAnsi="Times New Roman"/>
        </w:rPr>
        <w:t>ro</w:t>
      </w:r>
      <w:r w:rsidRPr="00C947BB">
        <w:rPr>
          <w:rFonts w:ascii="Times New Roman" w:hAnsi="Times New Roman"/>
        </w:rPr>
        <w:t xml:space="preserve"> eletto quelli dei circoli superiori.</w:t>
      </w:r>
      <w:r>
        <w:rPr>
          <w:rFonts w:ascii="Times New Roman" w:hAnsi="Times New Roman"/>
        </w:rPr>
        <w:t xml:space="preserve"> Cfr. </w:t>
      </w:r>
      <w:r w:rsidRPr="00AA36D7">
        <w:rPr>
          <w:rFonts w:ascii="Times New Roman" w:hAnsi="Times New Roman"/>
        </w:rPr>
        <w:t>C</w:t>
      </w:r>
      <w:r>
        <w:rPr>
          <w:rFonts w:ascii="Times New Roman" w:hAnsi="Times New Roman"/>
        </w:rPr>
        <w:t>arlyle A.</w:t>
      </w:r>
      <w:r w:rsidRPr="00AA36D7">
        <w:rPr>
          <w:rFonts w:ascii="Times New Roman" w:hAnsi="Times New Roman"/>
        </w:rPr>
        <w:t xml:space="preserve"> Macartney, </w:t>
      </w:r>
      <w:r w:rsidRPr="00AA36D7">
        <w:rPr>
          <w:rFonts w:ascii="Times New Roman" w:hAnsi="Times New Roman"/>
          <w:i/>
        </w:rPr>
        <w:t xml:space="preserve">L’impero </w:t>
      </w:r>
      <w:r>
        <w:rPr>
          <w:rFonts w:ascii="Times New Roman" w:hAnsi="Times New Roman"/>
          <w:i/>
        </w:rPr>
        <w:t>degli Asburgo 1890-1918</w:t>
      </w:r>
      <w:r>
        <w:rPr>
          <w:rFonts w:ascii="Times New Roman" w:hAnsi="Times New Roman"/>
        </w:rPr>
        <w:t>, Garzanti, Milano 1976, cap. X, p</w:t>
      </w:r>
      <w:r w:rsidRPr="00C947BB">
        <w:rPr>
          <w:rFonts w:ascii="Times New Roman" w:hAnsi="Times New Roman"/>
        </w:rPr>
        <w:t>. 496. Per un inquadramento dell’e</w:t>
      </w:r>
      <w:r>
        <w:rPr>
          <w:rFonts w:ascii="Times New Roman" w:hAnsi="Times New Roman"/>
        </w:rPr>
        <w:t>voluzione amministrativa nella m</w:t>
      </w:r>
      <w:r w:rsidRPr="00C947BB">
        <w:rPr>
          <w:rFonts w:ascii="Times New Roman" w:hAnsi="Times New Roman"/>
        </w:rPr>
        <w:t>onarchia asburgica,</w:t>
      </w:r>
      <w:r>
        <w:rPr>
          <w:rFonts w:ascii="Times New Roman" w:hAnsi="Times New Roman"/>
        </w:rPr>
        <w:t xml:space="preserve"> vedi invece Adam Wandruszka-</w:t>
      </w:r>
      <w:r w:rsidRPr="00C947BB">
        <w:rPr>
          <w:rFonts w:ascii="Times New Roman" w:hAnsi="Times New Roman"/>
        </w:rPr>
        <w:t>Peter Urbanitsch</w:t>
      </w:r>
      <w:r>
        <w:rPr>
          <w:rFonts w:ascii="Times New Roman" w:hAnsi="Times New Roman"/>
        </w:rPr>
        <w:t xml:space="preserve"> (a cura di)</w:t>
      </w:r>
      <w:r w:rsidRPr="00C947BB">
        <w:rPr>
          <w:rFonts w:ascii="Times New Roman" w:hAnsi="Times New Roman"/>
        </w:rPr>
        <w:t xml:space="preserve">, </w:t>
      </w:r>
      <w:r w:rsidRPr="00C947BB">
        <w:rPr>
          <w:rFonts w:ascii="Times New Roman" w:hAnsi="Times New Roman"/>
          <w:i/>
        </w:rPr>
        <w:t>Die Habsburge</w:t>
      </w:r>
      <w:r>
        <w:rPr>
          <w:rFonts w:ascii="Times New Roman" w:hAnsi="Times New Roman"/>
          <w:i/>
        </w:rPr>
        <w:t>r</w:t>
      </w:r>
      <w:r w:rsidRPr="00C947BB">
        <w:rPr>
          <w:rFonts w:ascii="Times New Roman" w:hAnsi="Times New Roman"/>
          <w:i/>
        </w:rPr>
        <w:t>monarchie 1848-1918</w:t>
      </w:r>
      <w:r>
        <w:rPr>
          <w:rFonts w:ascii="Times New Roman" w:hAnsi="Times New Roman"/>
        </w:rPr>
        <w:t xml:space="preserve">. </w:t>
      </w:r>
      <w:r w:rsidRPr="008E0762">
        <w:rPr>
          <w:rFonts w:ascii="Times New Roman" w:hAnsi="Times New Roman"/>
          <w:lang w:val="en-US"/>
        </w:rPr>
        <w:t xml:space="preserve">Vol. 2. </w:t>
      </w:r>
      <w:r w:rsidRPr="00A10B92">
        <w:rPr>
          <w:rFonts w:ascii="Times New Roman" w:hAnsi="Times New Roman"/>
          <w:i/>
          <w:lang w:val="en-US"/>
        </w:rPr>
        <w:t>Verwaltung und Rechtwesen</w:t>
      </w:r>
      <w:r w:rsidRPr="00A10B92">
        <w:rPr>
          <w:rFonts w:ascii="Times New Roman" w:hAnsi="Times New Roman"/>
          <w:lang w:val="en-US"/>
        </w:rPr>
        <w:t>, Verlag der Österreichischer Akademie der Wissenschaften, Wien 1975.</w:t>
      </w:r>
    </w:p>
  </w:footnote>
  <w:footnote w:id="40">
    <w:p w14:paraId="4FC8C9C3" w14:textId="77777777" w:rsidR="00591B49" w:rsidRPr="00C947BB" w:rsidRDefault="00591B49" w:rsidP="006D6265">
      <w:pPr>
        <w:spacing w:after="0" w:line="240" w:lineRule="auto"/>
        <w:ind w:right="567"/>
        <w:jc w:val="both"/>
        <w:rPr>
          <w:rFonts w:ascii="Times New Roman" w:hAnsi="Times New Roman"/>
          <w:sz w:val="20"/>
          <w:szCs w:val="20"/>
        </w:rPr>
      </w:pPr>
      <w:r w:rsidRPr="00C947BB">
        <w:rPr>
          <w:rStyle w:val="Rimandonotaapidipagina"/>
          <w:rFonts w:ascii="Times New Roman" w:hAnsi="Times New Roman"/>
          <w:sz w:val="20"/>
          <w:szCs w:val="20"/>
        </w:rPr>
        <w:footnoteRef/>
      </w:r>
      <w:r w:rsidRPr="00C947BB">
        <w:rPr>
          <w:rFonts w:ascii="Times New Roman" w:hAnsi="Times New Roman"/>
          <w:sz w:val="20"/>
          <w:szCs w:val="20"/>
        </w:rPr>
        <w:t xml:space="preserve"> Si ve</w:t>
      </w:r>
      <w:r>
        <w:rPr>
          <w:rFonts w:ascii="Times New Roman" w:hAnsi="Times New Roman"/>
          <w:sz w:val="20"/>
          <w:szCs w:val="20"/>
        </w:rPr>
        <w:t xml:space="preserve">da in proposito il recente studio di Harm </w:t>
      </w:r>
      <w:r w:rsidRPr="00C947BB">
        <w:rPr>
          <w:rFonts w:ascii="Times New Roman" w:hAnsi="Times New Roman"/>
          <w:sz w:val="20"/>
          <w:szCs w:val="20"/>
        </w:rPr>
        <w:t xml:space="preserve">Hinrich Brandt (a cura di), </w:t>
      </w:r>
      <w:r w:rsidRPr="00C947BB">
        <w:rPr>
          <w:rFonts w:ascii="Times New Roman" w:hAnsi="Times New Roman"/>
          <w:i/>
          <w:sz w:val="20"/>
          <w:szCs w:val="20"/>
        </w:rPr>
        <w:t>Der Österreichische Neoabsolutismus als Verfassung-und Verwaltungsproblem. Diskussionen über einen strittigen Epochenbegriff</w:t>
      </w:r>
      <w:r w:rsidRPr="00C947BB">
        <w:rPr>
          <w:rFonts w:ascii="Times New Roman" w:hAnsi="Times New Roman"/>
          <w:sz w:val="20"/>
          <w:szCs w:val="20"/>
        </w:rPr>
        <w:t xml:space="preserve"> </w:t>
      </w:r>
      <w:r w:rsidRPr="00B374C3">
        <w:rPr>
          <w:rFonts w:ascii="Times New Roman" w:hAnsi="Times New Roman"/>
          <w:sz w:val="20"/>
          <w:szCs w:val="20"/>
        </w:rPr>
        <w:t>[Il neoassolutismo austriaco come problema costituzionale e amministrativo. Discussioni su una controversa definizione d’epoca]</w:t>
      </w:r>
      <w:r w:rsidRPr="00C947BB">
        <w:rPr>
          <w:rFonts w:ascii="Times New Roman" w:hAnsi="Times New Roman"/>
          <w:sz w:val="20"/>
          <w:szCs w:val="20"/>
        </w:rPr>
        <w:t>, Böhlau</w:t>
      </w:r>
      <w:r>
        <w:rPr>
          <w:rFonts w:ascii="Times New Roman" w:hAnsi="Times New Roman"/>
          <w:sz w:val="20"/>
          <w:szCs w:val="20"/>
        </w:rPr>
        <w:t xml:space="preserve"> Verlag, Wien-Köln-Weimar 2014.</w:t>
      </w:r>
    </w:p>
  </w:footnote>
  <w:footnote w:id="41">
    <w:p w14:paraId="64F11D39" w14:textId="71C61924" w:rsidR="00591B49" w:rsidRPr="00C947BB" w:rsidRDefault="00591B49" w:rsidP="006D6265">
      <w:pPr>
        <w:pStyle w:val="Testonotaapidipagina"/>
        <w:ind w:right="567"/>
        <w:jc w:val="both"/>
        <w:rPr>
          <w:rFonts w:ascii="Times New Roman" w:hAnsi="Times New Roman"/>
        </w:rPr>
      </w:pPr>
      <w:r w:rsidRPr="00C947BB">
        <w:rPr>
          <w:rStyle w:val="Rimandonotaapidipagina"/>
          <w:rFonts w:ascii="Times New Roman" w:hAnsi="Times New Roman"/>
        </w:rPr>
        <w:footnoteRef/>
      </w:r>
      <w:r w:rsidRPr="00C947BB">
        <w:rPr>
          <w:rFonts w:ascii="Times New Roman" w:hAnsi="Times New Roman"/>
        </w:rPr>
        <w:t xml:space="preserve"> La convergenza ungaro-boema mirava a contrastare il centralismo burocratico viennese, sostenendo il </w:t>
      </w:r>
      <w:r>
        <w:rPr>
          <w:rFonts w:ascii="Times New Roman" w:hAnsi="Times New Roman"/>
        </w:rPr>
        <w:t xml:space="preserve">progetto di suddivisione della monarchia in sei unità “storiche” – </w:t>
      </w:r>
      <w:r w:rsidRPr="00C947BB">
        <w:rPr>
          <w:rFonts w:ascii="Times New Roman" w:hAnsi="Times New Roman"/>
        </w:rPr>
        <w:t>Galizia, Veneto, Austria, Tir</w:t>
      </w:r>
      <w:r>
        <w:rPr>
          <w:rFonts w:ascii="Times New Roman" w:hAnsi="Times New Roman"/>
        </w:rPr>
        <w:t>olo-Vorarlberg, Boemia, Illiria –</w:t>
      </w:r>
      <w:r w:rsidRPr="00C947BB">
        <w:rPr>
          <w:rFonts w:ascii="Times New Roman" w:hAnsi="Times New Roman"/>
        </w:rPr>
        <w:t xml:space="preserve"> più l’Ungheria, che avrebbe recuperato il </w:t>
      </w:r>
      <w:r w:rsidRPr="00D83F5A">
        <w:rPr>
          <w:rFonts w:ascii="Times New Roman" w:hAnsi="Times New Roman"/>
          <w:i/>
        </w:rPr>
        <w:t>corpus</w:t>
      </w:r>
      <w:r w:rsidRPr="00C947BB">
        <w:rPr>
          <w:rFonts w:ascii="Times New Roman" w:hAnsi="Times New Roman"/>
        </w:rPr>
        <w:t xml:space="preserve"> di leggi leopoldine quale base per il ripristino del</w:t>
      </w:r>
      <w:r>
        <w:rPr>
          <w:rFonts w:ascii="Times New Roman" w:hAnsi="Times New Roman"/>
        </w:rPr>
        <w:t>le sue storiche prerogative. Vedi C.</w:t>
      </w:r>
      <w:r w:rsidRPr="00C947BB">
        <w:rPr>
          <w:rFonts w:ascii="Times New Roman" w:hAnsi="Times New Roman"/>
        </w:rPr>
        <w:t xml:space="preserve">A. Macartney, </w:t>
      </w:r>
      <w:r w:rsidRPr="00C947BB">
        <w:rPr>
          <w:rFonts w:ascii="Times New Roman" w:hAnsi="Times New Roman"/>
          <w:i/>
        </w:rPr>
        <w:t>L’impero degli Asburgo</w:t>
      </w:r>
      <w:r>
        <w:rPr>
          <w:rFonts w:ascii="Times New Roman" w:hAnsi="Times New Roman"/>
        </w:rPr>
        <w:t xml:space="preserve"> </w:t>
      </w:r>
      <w:r w:rsidRPr="00B72630">
        <w:rPr>
          <w:rFonts w:ascii="Times New Roman" w:hAnsi="Times New Roman"/>
          <w:i/>
        </w:rPr>
        <w:t>1790-1918</w:t>
      </w:r>
      <w:r>
        <w:rPr>
          <w:rFonts w:ascii="Times New Roman" w:hAnsi="Times New Roman"/>
        </w:rPr>
        <w:t>, cit.</w:t>
      </w:r>
      <w:r w:rsidRPr="00C947BB">
        <w:rPr>
          <w:rFonts w:ascii="Times New Roman" w:hAnsi="Times New Roman"/>
        </w:rPr>
        <w:t>, cap. XI, pp. 565-566.</w:t>
      </w:r>
    </w:p>
  </w:footnote>
  <w:footnote w:id="42">
    <w:p w14:paraId="10FAF651" w14:textId="77777777" w:rsidR="00591B49" w:rsidRPr="001A36CC" w:rsidRDefault="00591B49" w:rsidP="001A36CC">
      <w:pPr>
        <w:pStyle w:val="Testonotaapidipagina"/>
        <w:ind w:right="567"/>
        <w:jc w:val="both"/>
        <w:rPr>
          <w:rFonts w:ascii="Times New Roman" w:hAnsi="Times New Roman"/>
        </w:rPr>
      </w:pPr>
      <w:r w:rsidRPr="001A36CC">
        <w:rPr>
          <w:rStyle w:val="Rimandonotaapidipagina"/>
          <w:rFonts w:ascii="Times New Roman" w:hAnsi="Times New Roman"/>
        </w:rPr>
        <w:footnoteRef/>
      </w:r>
      <w:r w:rsidRPr="001A36CC">
        <w:rPr>
          <w:rFonts w:ascii="Times New Roman" w:hAnsi="Times New Roman"/>
        </w:rPr>
        <w:t xml:space="preserve"> Vincenzo Duplancich, direttore del foglio “Voce Dalmatica”</w:t>
      </w:r>
      <w:r>
        <w:rPr>
          <w:rFonts w:ascii="Times New Roman" w:hAnsi="Times New Roman"/>
        </w:rPr>
        <w:t>, nel libello</w:t>
      </w:r>
      <w:r w:rsidRPr="001A36CC">
        <w:rPr>
          <w:rFonts w:ascii="Times New Roman" w:hAnsi="Times New Roman"/>
        </w:rPr>
        <w:t xml:space="preserve"> </w:t>
      </w:r>
      <w:r w:rsidRPr="001A36CC">
        <w:rPr>
          <w:rFonts w:ascii="Times New Roman" w:hAnsi="Times New Roman"/>
          <w:i/>
        </w:rPr>
        <w:t>Della civiltà italiana e slava in Dalmazia</w:t>
      </w:r>
      <w:r w:rsidRPr="001A36CC">
        <w:rPr>
          <w:rFonts w:ascii="Times New Roman" w:hAnsi="Times New Roman"/>
        </w:rPr>
        <w:t>, Trieste 1861, rivela apertamente l’assenza di qualsiasi ipotesi di compromesso da parte italiana nelle relazioni con l’emergente movimento nazionale croato sull’Adriatico</w:t>
      </w:r>
      <w:r>
        <w:rPr>
          <w:rFonts w:ascii="Times New Roman" w:hAnsi="Times New Roman"/>
        </w:rPr>
        <w:t xml:space="preserve">, pp. 13-26. Medesime posizioni negative nei confronti del mondo slavo adriatico esprimeva lo storico di Trieste e dell’Istria Pietro Kandler, in </w:t>
      </w:r>
      <w:r w:rsidRPr="00BE75D0">
        <w:rPr>
          <w:rFonts w:ascii="Times New Roman" w:hAnsi="Times New Roman"/>
          <w:i/>
        </w:rPr>
        <w:t>Discorso sul Timavo per le nozze di Guastalla-Levi</w:t>
      </w:r>
      <w:r>
        <w:rPr>
          <w:rFonts w:ascii="Times New Roman" w:hAnsi="Times New Roman"/>
        </w:rPr>
        <w:t>, Tipografia Lloyd Adriatico, Trieste 1864, p.12.</w:t>
      </w:r>
    </w:p>
  </w:footnote>
  <w:footnote w:id="43">
    <w:p w14:paraId="06C83667" w14:textId="77777777" w:rsidR="00591B49" w:rsidRPr="00C947BB" w:rsidRDefault="00591B49" w:rsidP="006D6265">
      <w:pPr>
        <w:pStyle w:val="Testonotaapidipagina"/>
        <w:ind w:right="567"/>
        <w:jc w:val="both"/>
        <w:rPr>
          <w:rFonts w:ascii="Times New Roman" w:hAnsi="Times New Roman"/>
        </w:rPr>
      </w:pPr>
      <w:r w:rsidRPr="00C947BB">
        <w:rPr>
          <w:rStyle w:val="Rimandonotaapidipagina"/>
          <w:rFonts w:ascii="Times New Roman" w:hAnsi="Times New Roman"/>
        </w:rPr>
        <w:footnoteRef/>
      </w:r>
      <w:r w:rsidRPr="00C947BB">
        <w:rPr>
          <w:rFonts w:ascii="Times New Roman" w:hAnsi="Times New Roman"/>
        </w:rPr>
        <w:t xml:space="preserve"> </w:t>
      </w:r>
      <w:r>
        <w:rPr>
          <w:rFonts w:ascii="Times New Roman" w:hAnsi="Times New Roman"/>
        </w:rPr>
        <w:t xml:space="preserve">Vedi </w:t>
      </w:r>
      <w:r w:rsidRPr="00C947BB">
        <w:rPr>
          <w:rFonts w:ascii="Times New Roman" w:hAnsi="Times New Roman"/>
        </w:rPr>
        <w:t xml:space="preserve">Angelo Ara, </w:t>
      </w:r>
      <w:r w:rsidRPr="00C947BB">
        <w:rPr>
          <w:rFonts w:ascii="Times New Roman" w:hAnsi="Times New Roman"/>
          <w:i/>
        </w:rPr>
        <w:t>Gli italiani nella monarchia asburgica</w:t>
      </w:r>
      <w:r>
        <w:rPr>
          <w:rFonts w:ascii="Times New Roman" w:hAnsi="Times New Roman"/>
          <w:i/>
        </w:rPr>
        <w:t>,</w:t>
      </w:r>
      <w:r w:rsidRPr="00C947BB">
        <w:rPr>
          <w:rFonts w:ascii="Times New Roman" w:hAnsi="Times New Roman"/>
          <w:i/>
        </w:rPr>
        <w:t xml:space="preserve"> 1850-1918</w:t>
      </w:r>
      <w:r w:rsidRPr="00C947BB">
        <w:rPr>
          <w:rFonts w:ascii="Times New Roman" w:hAnsi="Times New Roman"/>
        </w:rPr>
        <w:t>, in</w:t>
      </w:r>
      <w:r>
        <w:rPr>
          <w:rFonts w:ascii="Times New Roman" w:hAnsi="Times New Roman"/>
        </w:rPr>
        <w:t xml:space="preserve"> Id.,</w:t>
      </w:r>
      <w:r w:rsidRPr="00C947BB">
        <w:rPr>
          <w:rFonts w:ascii="Times New Roman" w:hAnsi="Times New Roman"/>
        </w:rPr>
        <w:t xml:space="preserve"> </w:t>
      </w:r>
      <w:r w:rsidRPr="00C947BB">
        <w:rPr>
          <w:rFonts w:ascii="Times New Roman" w:hAnsi="Times New Roman"/>
          <w:i/>
        </w:rPr>
        <w:t>Fra nazione e impero. Trieste, gli Asburgo e la Mitteleuropa</w:t>
      </w:r>
      <w:r>
        <w:rPr>
          <w:rFonts w:ascii="Times New Roman" w:hAnsi="Times New Roman"/>
        </w:rPr>
        <w:t xml:space="preserve">, </w:t>
      </w:r>
      <w:r w:rsidRPr="00C947BB">
        <w:rPr>
          <w:rFonts w:ascii="Times New Roman" w:hAnsi="Times New Roman"/>
        </w:rPr>
        <w:t>Garzanti, Milano</w:t>
      </w:r>
      <w:r>
        <w:rPr>
          <w:rFonts w:ascii="Times New Roman" w:hAnsi="Times New Roman"/>
        </w:rPr>
        <w:t xml:space="preserve"> 2009, pp. 251-267, in particolare p. 257. Il saggio era apparso nella</w:t>
      </w:r>
      <w:r w:rsidRPr="00C947BB">
        <w:rPr>
          <w:rFonts w:ascii="Times New Roman" w:hAnsi="Times New Roman"/>
        </w:rPr>
        <w:t xml:space="preserve"> “Rasseg</w:t>
      </w:r>
      <w:r>
        <w:rPr>
          <w:rFonts w:ascii="Times New Roman" w:hAnsi="Times New Roman"/>
        </w:rPr>
        <w:t>na storica del Risorgimento”, n. 4 1998,</w:t>
      </w:r>
      <w:r w:rsidRPr="00C947BB">
        <w:rPr>
          <w:rFonts w:ascii="Times New Roman" w:hAnsi="Times New Roman"/>
        </w:rPr>
        <w:t xml:space="preserve"> pp. 435-450.</w:t>
      </w:r>
    </w:p>
  </w:footnote>
  <w:footnote w:id="44">
    <w:p w14:paraId="49DBD101" w14:textId="77777777" w:rsidR="00591B49" w:rsidRPr="00C947BB" w:rsidRDefault="00591B49" w:rsidP="006D6265">
      <w:pPr>
        <w:pStyle w:val="Testonotaapidipagina"/>
        <w:ind w:right="567"/>
        <w:jc w:val="both"/>
        <w:rPr>
          <w:rFonts w:ascii="Times New Roman" w:hAnsi="Times New Roman"/>
        </w:rPr>
      </w:pPr>
      <w:r w:rsidRPr="00C947BB">
        <w:rPr>
          <w:rStyle w:val="Rimandonotaapidipagina"/>
          <w:rFonts w:ascii="Times New Roman" w:hAnsi="Times New Roman"/>
        </w:rPr>
        <w:footnoteRef/>
      </w:r>
      <w:r w:rsidRPr="00C947BB">
        <w:rPr>
          <w:rFonts w:ascii="Times New Roman" w:hAnsi="Times New Roman"/>
        </w:rPr>
        <w:t xml:space="preserve"> L’evoluzione della storiografia ceca dopo il 1989 porta a sfrondare il mito del progetto di costituzione dello Stato cecoslovacco negli anni della Grande Guerra, riconoscendo posizioni e opzioni diverse.</w:t>
      </w:r>
      <w:r>
        <w:rPr>
          <w:rFonts w:ascii="Times New Roman" w:hAnsi="Times New Roman"/>
        </w:rPr>
        <w:t xml:space="preserve"> Cfr.</w:t>
      </w:r>
      <w:r w:rsidRPr="00C947BB">
        <w:rPr>
          <w:rFonts w:ascii="Times New Roman" w:hAnsi="Times New Roman"/>
        </w:rPr>
        <w:t xml:space="preserve"> Ota Konrád, </w:t>
      </w:r>
      <w:r w:rsidRPr="00C947BB">
        <w:rPr>
          <w:rFonts w:ascii="Times New Roman" w:hAnsi="Times New Roman"/>
          <w:i/>
        </w:rPr>
        <w:t>Von der Kulisse der Nationalstaatgründung zur Europäisierung der Forschung: Die tschechische Historiographie zum Ersten Weltkrieg</w:t>
      </w:r>
      <w:r w:rsidRPr="00C947BB">
        <w:rPr>
          <w:rFonts w:ascii="Times New Roman" w:hAnsi="Times New Roman"/>
        </w:rPr>
        <w:t xml:space="preserve">, </w:t>
      </w:r>
      <w:r w:rsidRPr="00C02C98">
        <w:rPr>
          <w:rFonts w:ascii="Times New Roman" w:hAnsi="Times New Roman"/>
        </w:rPr>
        <w:t>[Dallo scenario della fondazione dello Stato nazionale all’europeizzazione della ricerca: la storiografia ceca sulla prima guerra mondiale]</w:t>
      </w:r>
      <w:r w:rsidRPr="00C947BB">
        <w:rPr>
          <w:rFonts w:ascii="Times New Roman" w:hAnsi="Times New Roman"/>
        </w:rPr>
        <w:t xml:space="preserve">, in </w:t>
      </w:r>
      <w:r w:rsidRPr="00C947BB">
        <w:rPr>
          <w:rFonts w:ascii="Times New Roman" w:hAnsi="Times New Roman"/>
          <w:i/>
        </w:rPr>
        <w:t>Bewältigte Vergangenheit?</w:t>
      </w:r>
      <w:r w:rsidRPr="00C947BB">
        <w:rPr>
          <w:rFonts w:ascii="Times New Roman" w:hAnsi="Times New Roman"/>
        </w:rPr>
        <w:t>...</w:t>
      </w:r>
      <w:r>
        <w:rPr>
          <w:rFonts w:ascii="Times New Roman" w:hAnsi="Times New Roman"/>
        </w:rPr>
        <w:t xml:space="preserve"> cit., pp. 201-226.</w:t>
      </w:r>
    </w:p>
  </w:footnote>
  <w:footnote w:id="45">
    <w:p w14:paraId="10EDE710" w14:textId="77777777" w:rsidR="00591B49" w:rsidRPr="00C947BB" w:rsidRDefault="00591B49" w:rsidP="006D6265">
      <w:pPr>
        <w:pStyle w:val="Testonotaapidipagina"/>
        <w:ind w:right="567"/>
        <w:jc w:val="both"/>
        <w:rPr>
          <w:rStyle w:val="Rimandonotaapidipagina"/>
          <w:rFonts w:ascii="Times New Roman" w:eastAsia="Times New Roman" w:hAnsi="Times New Roman"/>
          <w:bCs/>
          <w:kern w:val="36"/>
          <w:lang w:eastAsia="it-IT"/>
        </w:rPr>
      </w:pPr>
      <w:r w:rsidRPr="00C947BB">
        <w:rPr>
          <w:rStyle w:val="Rimandonotaapidipagina"/>
          <w:rFonts w:ascii="Times New Roman" w:hAnsi="Times New Roman"/>
        </w:rPr>
        <w:footnoteRef/>
      </w:r>
      <w:r w:rsidRPr="00C947BB">
        <w:rPr>
          <w:rFonts w:ascii="Times New Roman" w:hAnsi="Times New Roman"/>
        </w:rPr>
        <w:t xml:space="preserve"> La storia dell’Ungheria in di</w:t>
      </w:r>
      <w:r>
        <w:rPr>
          <w:rFonts w:ascii="Times New Roman" w:hAnsi="Times New Roman"/>
        </w:rPr>
        <w:t>eci volumi, edita dall’Accademia U</w:t>
      </w:r>
      <w:r w:rsidRPr="00C947BB">
        <w:rPr>
          <w:rFonts w:ascii="Times New Roman" w:hAnsi="Times New Roman"/>
        </w:rPr>
        <w:t>ngherese delle Scienze negli anni Settanta e Ottanta del XX</w:t>
      </w:r>
      <w:r>
        <w:rPr>
          <w:rFonts w:ascii="Times New Roman" w:hAnsi="Times New Roman"/>
        </w:rPr>
        <w:t xml:space="preserve"> secolo, rappresenta ancora un’opera</w:t>
      </w:r>
      <w:r w:rsidRPr="00C947BB">
        <w:rPr>
          <w:rFonts w:ascii="Times New Roman" w:hAnsi="Times New Roman"/>
        </w:rPr>
        <w:t xml:space="preserve"> pregevole, accurata e scientificamente solida</w:t>
      </w:r>
      <w:r w:rsidRPr="00452823">
        <w:rPr>
          <w:rFonts w:ascii="Times New Roman" w:hAnsi="Times New Roman"/>
        </w:rPr>
        <w:t xml:space="preserve">. Due volumi suddivisi in quattro tomi </w:t>
      </w:r>
      <w:r>
        <w:rPr>
          <w:rFonts w:ascii="Times New Roman" w:hAnsi="Times New Roman"/>
        </w:rPr>
        <w:t>si occupano del</w:t>
      </w:r>
      <w:r w:rsidRPr="00452823">
        <w:rPr>
          <w:rFonts w:ascii="Times New Roman" w:hAnsi="Times New Roman"/>
        </w:rPr>
        <w:t xml:space="preserve"> cruciale passaggio 1848-1918: dalla rivoluzione e dalla guerra d’indipendenza al neo-assolutismo, fino al Compromesso e alla </w:t>
      </w:r>
      <w:r>
        <w:rPr>
          <w:rFonts w:ascii="Times New Roman" w:hAnsi="Times New Roman"/>
        </w:rPr>
        <w:t>fase dualistica della m</w:t>
      </w:r>
      <w:r w:rsidRPr="00C947BB">
        <w:rPr>
          <w:rFonts w:ascii="Times New Roman" w:hAnsi="Times New Roman"/>
        </w:rPr>
        <w:t xml:space="preserve">onarchia asburgica e dell’Ungheria. </w:t>
      </w:r>
      <w:r w:rsidRPr="00342F58">
        <w:rPr>
          <w:rFonts w:ascii="Times New Roman" w:hAnsi="Times New Roman"/>
        </w:rPr>
        <w:t>All’</w:t>
      </w:r>
      <w:r w:rsidRPr="00C947BB">
        <w:rPr>
          <w:rFonts w:ascii="Times New Roman" w:hAnsi="Times New Roman"/>
          <w:i/>
        </w:rPr>
        <w:t>Ausgleich/kiegyezés</w:t>
      </w:r>
      <w:r w:rsidRPr="00C947BB">
        <w:rPr>
          <w:rFonts w:ascii="Times New Roman" w:hAnsi="Times New Roman"/>
        </w:rPr>
        <w:t xml:space="preserve"> e alle sue conseguenze</w:t>
      </w:r>
      <w:r w:rsidRPr="00C947BB">
        <w:rPr>
          <w:rStyle w:val="Rimandonotaapidipagina"/>
          <w:rFonts w:ascii="Times New Roman" w:eastAsia="Times New Roman" w:hAnsi="Times New Roman"/>
          <w:bCs/>
          <w:kern w:val="36"/>
          <w:lang w:eastAsia="it-IT"/>
        </w:rPr>
        <w:t xml:space="preserve"> </w:t>
      </w:r>
      <w:r w:rsidRPr="00C947BB">
        <w:rPr>
          <w:rFonts w:ascii="Times New Roman" w:eastAsia="Times New Roman" w:hAnsi="Times New Roman"/>
          <w:bCs/>
          <w:kern w:val="36"/>
          <w:lang w:eastAsia="it-IT"/>
        </w:rPr>
        <w:t xml:space="preserve">è dedicato </w:t>
      </w:r>
      <w:r w:rsidRPr="00452823">
        <w:rPr>
          <w:rFonts w:ascii="Times New Roman" w:eastAsia="Times New Roman" w:hAnsi="Times New Roman"/>
          <w:bCs/>
          <w:kern w:val="36"/>
          <w:lang w:eastAsia="it-IT"/>
        </w:rPr>
        <w:t xml:space="preserve">il tomo secondo del sesto volume. Cfr. pertanto Endre Kovács-László Katus (a cura di), </w:t>
      </w:r>
      <w:r w:rsidRPr="00452823">
        <w:rPr>
          <w:rFonts w:ascii="Times New Roman" w:eastAsia="Times New Roman" w:hAnsi="Times New Roman"/>
          <w:bCs/>
          <w:i/>
          <w:kern w:val="36"/>
          <w:lang w:eastAsia="it-IT"/>
        </w:rPr>
        <w:t>Magyarország története 1848-1890</w:t>
      </w:r>
      <w:r w:rsidRPr="00452823">
        <w:rPr>
          <w:rFonts w:ascii="Times New Roman" w:eastAsia="Times New Roman" w:hAnsi="Times New Roman"/>
          <w:bCs/>
          <w:kern w:val="36"/>
          <w:lang w:eastAsia="it-IT"/>
        </w:rPr>
        <w:t xml:space="preserve"> [Storia dell’Ungheria, 1848-1918] Vol. 6. Tomo 2. Parte terza, </w:t>
      </w:r>
      <w:r w:rsidRPr="00452823">
        <w:rPr>
          <w:rFonts w:ascii="Times New Roman" w:eastAsia="Times New Roman" w:hAnsi="Times New Roman"/>
          <w:bCs/>
          <w:i/>
          <w:kern w:val="36"/>
          <w:lang w:eastAsia="it-IT"/>
        </w:rPr>
        <w:t>Magyarország története a dualizmus első negyedszázadában 1867-1890</w:t>
      </w:r>
      <w:r w:rsidRPr="00452823">
        <w:rPr>
          <w:rFonts w:ascii="Times New Roman" w:eastAsia="Times New Roman" w:hAnsi="Times New Roman"/>
          <w:bCs/>
          <w:kern w:val="36"/>
          <w:lang w:eastAsia="it-IT"/>
        </w:rPr>
        <w:t xml:space="preserve"> [Storia dell’Ungheria nel primo quarto di secolo del Dualismo, 1867-1890], Akadémiai kiadó, Budapest 1987, pp. 775-1475.</w:t>
      </w:r>
    </w:p>
  </w:footnote>
  <w:footnote w:id="46">
    <w:p w14:paraId="11C6002C" w14:textId="77777777" w:rsidR="00591B49" w:rsidRPr="00C947BB" w:rsidRDefault="00591B49" w:rsidP="006D6265">
      <w:pPr>
        <w:spacing w:after="0" w:line="240" w:lineRule="auto"/>
        <w:ind w:right="567"/>
        <w:jc w:val="both"/>
        <w:rPr>
          <w:rFonts w:ascii="Times New Roman" w:hAnsi="Times New Roman"/>
          <w:sz w:val="20"/>
          <w:szCs w:val="20"/>
        </w:rPr>
      </w:pPr>
      <w:r w:rsidRPr="00C947BB">
        <w:rPr>
          <w:rStyle w:val="Rimandonotaapidipagina"/>
          <w:rFonts w:ascii="Times New Roman" w:hAnsi="Times New Roman"/>
          <w:sz w:val="20"/>
          <w:szCs w:val="20"/>
        </w:rPr>
        <w:footnoteRef/>
      </w:r>
      <w:r w:rsidRPr="00C947BB">
        <w:rPr>
          <w:rFonts w:ascii="Times New Roman" w:hAnsi="Times New Roman"/>
          <w:sz w:val="20"/>
          <w:szCs w:val="20"/>
        </w:rPr>
        <w:t xml:space="preserve"> L’unificazi</w:t>
      </w:r>
      <w:r>
        <w:rPr>
          <w:rFonts w:ascii="Times New Roman" w:hAnsi="Times New Roman"/>
          <w:sz w:val="20"/>
          <w:szCs w:val="20"/>
        </w:rPr>
        <w:t>one tedesca, la politica della m</w:t>
      </w:r>
      <w:r w:rsidRPr="00C947BB">
        <w:rPr>
          <w:rFonts w:ascii="Times New Roman" w:hAnsi="Times New Roman"/>
          <w:sz w:val="20"/>
          <w:szCs w:val="20"/>
        </w:rPr>
        <w:t xml:space="preserve">onarchia asburgica in Germania e la posizione degli ungheresi sono state esaurientemente affrontate da István Diószegi, </w:t>
      </w:r>
      <w:r w:rsidRPr="00C947BB">
        <w:rPr>
          <w:rFonts w:ascii="Times New Roman" w:hAnsi="Times New Roman"/>
          <w:i/>
          <w:sz w:val="20"/>
          <w:szCs w:val="20"/>
        </w:rPr>
        <w:t>Bismarck és Andrássy</w:t>
      </w:r>
      <w:r w:rsidRPr="00C947BB">
        <w:rPr>
          <w:rFonts w:ascii="Times New Roman" w:hAnsi="Times New Roman"/>
          <w:sz w:val="20"/>
          <w:szCs w:val="20"/>
        </w:rPr>
        <w:t xml:space="preserve">, </w:t>
      </w:r>
      <w:r w:rsidRPr="00C947BB">
        <w:rPr>
          <w:rFonts w:ascii="Times New Roman" w:hAnsi="Times New Roman"/>
          <w:i/>
          <w:sz w:val="20"/>
          <w:szCs w:val="20"/>
        </w:rPr>
        <w:t>Magyarország a német hatalmi politikában a XIX.század második felében</w:t>
      </w:r>
      <w:r w:rsidRPr="00C947BB">
        <w:rPr>
          <w:rFonts w:ascii="Times New Roman" w:hAnsi="Times New Roman"/>
          <w:sz w:val="20"/>
          <w:szCs w:val="20"/>
        </w:rPr>
        <w:t xml:space="preserve"> [</w:t>
      </w:r>
      <w:r>
        <w:rPr>
          <w:rFonts w:ascii="Times New Roman" w:hAnsi="Times New Roman"/>
          <w:sz w:val="20"/>
          <w:szCs w:val="20"/>
        </w:rPr>
        <w:t xml:space="preserve">Bismarck e Andrássy. </w:t>
      </w:r>
      <w:r w:rsidRPr="00C947BB">
        <w:rPr>
          <w:rFonts w:ascii="Times New Roman" w:hAnsi="Times New Roman"/>
          <w:sz w:val="20"/>
          <w:szCs w:val="20"/>
        </w:rPr>
        <w:t>L’Ungheria nella politica di potenza tedesca della seconda metà del XIX secolo], Teleki László Alapí</w:t>
      </w:r>
      <w:r>
        <w:rPr>
          <w:rFonts w:ascii="Times New Roman" w:hAnsi="Times New Roman"/>
          <w:sz w:val="20"/>
          <w:szCs w:val="20"/>
        </w:rPr>
        <w:t>tvány, Budapest 1998. Al riguardo</w:t>
      </w:r>
      <w:r w:rsidRPr="00C947BB">
        <w:rPr>
          <w:rFonts w:ascii="Times New Roman" w:hAnsi="Times New Roman"/>
          <w:sz w:val="20"/>
          <w:szCs w:val="20"/>
        </w:rPr>
        <w:t xml:space="preserve"> rimane di grande valore </w:t>
      </w:r>
      <w:r w:rsidRPr="00452823">
        <w:rPr>
          <w:rFonts w:ascii="Times New Roman" w:hAnsi="Times New Roman"/>
          <w:sz w:val="20"/>
          <w:szCs w:val="20"/>
        </w:rPr>
        <w:t>per la ricchezza documentaria</w:t>
      </w:r>
      <w:r>
        <w:rPr>
          <w:rFonts w:ascii="Times New Roman" w:hAnsi="Times New Roman"/>
          <w:sz w:val="20"/>
          <w:szCs w:val="20"/>
        </w:rPr>
        <w:t>, anche</w:t>
      </w:r>
      <w:r w:rsidRPr="00C947BB">
        <w:rPr>
          <w:rFonts w:ascii="Times New Roman" w:hAnsi="Times New Roman"/>
          <w:sz w:val="20"/>
          <w:szCs w:val="20"/>
        </w:rPr>
        <w:t xml:space="preserve"> il secondo volume della biografia del conte Andrássy il vecchio:</w:t>
      </w:r>
      <w:r>
        <w:rPr>
          <w:rFonts w:ascii="Times New Roman" w:hAnsi="Times New Roman"/>
          <w:sz w:val="20"/>
          <w:szCs w:val="20"/>
        </w:rPr>
        <w:t xml:space="preserve"> vedi</w:t>
      </w:r>
      <w:r w:rsidRPr="00C947BB">
        <w:rPr>
          <w:rFonts w:ascii="Times New Roman" w:hAnsi="Times New Roman"/>
          <w:sz w:val="20"/>
          <w:szCs w:val="20"/>
        </w:rPr>
        <w:t xml:space="preserve"> Ede Wertheimer, </w:t>
      </w:r>
      <w:r w:rsidRPr="00C947BB">
        <w:rPr>
          <w:rFonts w:ascii="Times New Roman" w:hAnsi="Times New Roman"/>
          <w:i/>
          <w:sz w:val="20"/>
          <w:szCs w:val="20"/>
        </w:rPr>
        <w:t>Gróf Andrássy Gyula élete és kora</w:t>
      </w:r>
      <w:r w:rsidRPr="00C947BB">
        <w:rPr>
          <w:rFonts w:ascii="Times New Roman" w:hAnsi="Times New Roman"/>
          <w:sz w:val="20"/>
          <w:szCs w:val="20"/>
        </w:rPr>
        <w:t xml:space="preserve"> </w:t>
      </w:r>
      <w:r w:rsidRPr="00C947BB">
        <w:rPr>
          <w:rFonts w:ascii="Times New Roman" w:hAnsi="Times New Roman"/>
          <w:i/>
          <w:sz w:val="20"/>
          <w:szCs w:val="20"/>
        </w:rPr>
        <w:t>I.-III.kötet</w:t>
      </w:r>
      <w:r w:rsidRPr="00C947BB">
        <w:rPr>
          <w:rFonts w:ascii="Times New Roman" w:hAnsi="Times New Roman"/>
          <w:sz w:val="20"/>
          <w:szCs w:val="20"/>
        </w:rPr>
        <w:t xml:space="preserve"> [La vita e l’epoca del conte Gyula Andrássy, Voll</w:t>
      </w:r>
      <w:r>
        <w:rPr>
          <w:rFonts w:ascii="Times New Roman" w:hAnsi="Times New Roman"/>
          <w:sz w:val="20"/>
          <w:szCs w:val="20"/>
        </w:rPr>
        <w:t>.</w:t>
      </w:r>
      <w:r w:rsidRPr="00C947BB">
        <w:rPr>
          <w:rFonts w:ascii="Times New Roman" w:hAnsi="Times New Roman"/>
          <w:sz w:val="20"/>
          <w:szCs w:val="20"/>
        </w:rPr>
        <w:t xml:space="preserve"> I-III], Magyar Tudományos Akadémia, Budapest 1910.</w:t>
      </w:r>
    </w:p>
  </w:footnote>
  <w:footnote w:id="47">
    <w:p w14:paraId="188AE0CE" w14:textId="4896CB44" w:rsidR="00591B49" w:rsidRPr="002B45C2" w:rsidRDefault="00591B49" w:rsidP="008A4B79">
      <w:pPr>
        <w:pStyle w:val="Testonotaapidipagina"/>
        <w:ind w:right="567"/>
        <w:jc w:val="both"/>
        <w:rPr>
          <w:lang w:val="en-US"/>
        </w:rPr>
      </w:pPr>
      <w:r>
        <w:rPr>
          <w:rStyle w:val="Rimandonotaapidipagina"/>
        </w:rPr>
        <w:footnoteRef/>
      </w:r>
      <w:r>
        <w:t xml:space="preserve"> </w:t>
      </w:r>
      <w:r>
        <w:rPr>
          <w:rFonts w:ascii="Times New Roman" w:hAnsi="Times New Roman"/>
        </w:rPr>
        <w:t>I</w:t>
      </w:r>
      <w:r w:rsidRPr="00B85591">
        <w:rPr>
          <w:rFonts w:ascii="Times New Roman" w:hAnsi="Times New Roman"/>
        </w:rPr>
        <w:t xml:space="preserve"> pangerm</w:t>
      </w:r>
      <w:r>
        <w:rPr>
          <w:rFonts w:ascii="Times New Roman" w:hAnsi="Times New Roman"/>
        </w:rPr>
        <w:t>anisti guidati dal</w:t>
      </w:r>
      <w:r w:rsidRPr="00B85591">
        <w:rPr>
          <w:rFonts w:ascii="Times New Roman" w:hAnsi="Times New Roman"/>
        </w:rPr>
        <w:t xml:space="preserve"> cavaliere</w:t>
      </w:r>
      <w:r>
        <w:rPr>
          <w:rFonts w:ascii="Times New Roman" w:hAnsi="Times New Roman"/>
        </w:rPr>
        <w:t xml:space="preserve"> Georg</w:t>
      </w:r>
      <w:r w:rsidRPr="00B85591">
        <w:rPr>
          <w:rFonts w:ascii="Times New Roman" w:hAnsi="Times New Roman"/>
        </w:rPr>
        <w:t xml:space="preserve"> von Schö</w:t>
      </w:r>
      <w:r>
        <w:rPr>
          <w:rFonts w:ascii="Times New Roman" w:hAnsi="Times New Roman"/>
        </w:rPr>
        <w:t xml:space="preserve">nerer, che personalmente sognava di rompere i legami con la Chiesa cattolica e con gli Asburgo, furono gli antesignani della politica razziale contro slavi ed ebrei. </w:t>
      </w:r>
      <w:r w:rsidRPr="002B45C2">
        <w:rPr>
          <w:rFonts w:ascii="Times New Roman" w:hAnsi="Times New Roman"/>
          <w:lang w:val="en-US"/>
        </w:rPr>
        <w:t xml:space="preserve">Peter G. J. Pulzer, </w:t>
      </w:r>
      <w:r w:rsidRPr="002B45C2">
        <w:rPr>
          <w:rFonts w:ascii="Times New Roman" w:hAnsi="Times New Roman"/>
          <w:i/>
          <w:lang w:val="en-US"/>
        </w:rPr>
        <w:t>The Rise of Political Antisemitism In Germany and Austria</w:t>
      </w:r>
      <w:r w:rsidRPr="002B45C2">
        <w:rPr>
          <w:rFonts w:ascii="Times New Roman" w:hAnsi="Times New Roman"/>
          <w:lang w:val="en-US"/>
        </w:rPr>
        <w:t xml:space="preserve">, </w:t>
      </w:r>
      <w:r>
        <w:rPr>
          <w:rFonts w:ascii="Times New Roman" w:hAnsi="Times New Roman"/>
          <w:lang w:val="en-US"/>
        </w:rPr>
        <w:t>J. Wiley &amp; Sons, New York-</w:t>
      </w:r>
      <w:r w:rsidRPr="002B45C2">
        <w:rPr>
          <w:rFonts w:ascii="Times New Roman" w:hAnsi="Times New Roman"/>
          <w:lang w:val="en-US"/>
        </w:rPr>
        <w:t>London</w:t>
      </w:r>
      <w:r>
        <w:rPr>
          <w:rFonts w:ascii="Times New Roman" w:hAnsi="Times New Roman"/>
          <w:lang w:val="en-US"/>
        </w:rPr>
        <w:t xml:space="preserve">-Sidney </w:t>
      </w:r>
      <w:r w:rsidRPr="002B45C2">
        <w:rPr>
          <w:rFonts w:ascii="Times New Roman" w:hAnsi="Times New Roman"/>
          <w:lang w:val="en-US"/>
        </w:rPr>
        <w:t xml:space="preserve"> 1964. </w:t>
      </w:r>
    </w:p>
  </w:footnote>
  <w:footnote w:id="48">
    <w:p w14:paraId="1E738A81" w14:textId="00D6CCCC" w:rsidR="00591B49" w:rsidRPr="00936DCD" w:rsidRDefault="00591B49" w:rsidP="002E59EE">
      <w:pPr>
        <w:pStyle w:val="Testonotaapidipagina"/>
        <w:ind w:right="567"/>
        <w:jc w:val="both"/>
        <w:rPr>
          <w:rFonts w:ascii="Times New Roman" w:hAnsi="Times New Roman"/>
        </w:rPr>
      </w:pPr>
      <w:r>
        <w:rPr>
          <w:rStyle w:val="Rimandonotaapidipagina"/>
        </w:rPr>
        <w:footnoteRef/>
      </w:r>
      <w:r>
        <w:t xml:space="preserve"> </w:t>
      </w:r>
      <w:r w:rsidRPr="00936DCD">
        <w:rPr>
          <w:rFonts w:ascii="Times New Roman" w:hAnsi="Times New Roman"/>
        </w:rPr>
        <w:t xml:space="preserve">Gábor Pajkossy, </w:t>
      </w:r>
      <w:r w:rsidRPr="00936DCD">
        <w:rPr>
          <w:rFonts w:ascii="Times New Roman" w:hAnsi="Times New Roman"/>
          <w:i/>
        </w:rPr>
        <w:t>Az 1862. évi Duna-konföderációs tervezet dokumentumi</w:t>
      </w:r>
      <w:r w:rsidRPr="00936DCD">
        <w:rPr>
          <w:rFonts w:ascii="Times New Roman" w:hAnsi="Times New Roman"/>
        </w:rPr>
        <w:t xml:space="preserve"> [I documenti del piano di confeder</w:t>
      </w:r>
      <w:r w:rsidR="002E59EE">
        <w:rPr>
          <w:rFonts w:ascii="Times New Roman" w:hAnsi="Times New Roman"/>
        </w:rPr>
        <w:t>azione danubiana del 1862], in “Századok</w:t>
      </w:r>
      <w:r w:rsidR="002E59EE" w:rsidRPr="002E59EE">
        <w:rPr>
          <w:rFonts w:ascii="Times New Roman" w:hAnsi="Times New Roman"/>
        </w:rPr>
        <w:t>”[Saecula]</w:t>
      </w:r>
      <w:r w:rsidRPr="002E59EE">
        <w:rPr>
          <w:rFonts w:ascii="Times New Roman" w:hAnsi="Times New Roman"/>
        </w:rPr>
        <w:t>,</w:t>
      </w:r>
      <w:r w:rsidRPr="00936DCD">
        <w:rPr>
          <w:rFonts w:ascii="Times New Roman" w:hAnsi="Times New Roman"/>
        </w:rPr>
        <w:t xml:space="preserve"> 2002/4, pp. 937-957.</w:t>
      </w:r>
    </w:p>
  </w:footnote>
  <w:footnote w:id="49">
    <w:p w14:paraId="05420C14" w14:textId="50AC0B5D" w:rsidR="00591B49" w:rsidRPr="00873FE0" w:rsidRDefault="00591B49" w:rsidP="00873FE0">
      <w:pPr>
        <w:pStyle w:val="Testonotaapidipagina"/>
        <w:ind w:right="567"/>
        <w:jc w:val="both"/>
        <w:rPr>
          <w:rFonts w:ascii="Times New Roman" w:hAnsi="Times New Roman"/>
        </w:rPr>
      </w:pPr>
      <w:r>
        <w:rPr>
          <w:rStyle w:val="Rimandonotaapidipagina"/>
        </w:rPr>
        <w:footnoteRef/>
      </w:r>
      <w:r>
        <w:t xml:space="preserve"> </w:t>
      </w:r>
      <w:r>
        <w:rPr>
          <w:rFonts w:ascii="Times New Roman" w:hAnsi="Times New Roman"/>
        </w:rPr>
        <w:t>Pubblicata il 26 maggio su “Magyar Újság”</w:t>
      </w:r>
      <w:r w:rsidRPr="00873FE0">
        <w:rPr>
          <w:rFonts w:ascii="Times New Roman" w:hAnsi="Times New Roman"/>
        </w:rPr>
        <w:t xml:space="preserve"> [Il giornale ungherese], foglio dell’opposizio</w:t>
      </w:r>
      <w:r>
        <w:rPr>
          <w:rFonts w:ascii="Times New Roman" w:hAnsi="Times New Roman"/>
        </w:rPr>
        <w:t xml:space="preserve">ne radicale, e il 30 maggio su “Magyarország” </w:t>
      </w:r>
      <w:r>
        <w:rPr>
          <w:rFonts w:ascii="Arial Narrow" w:hAnsi="Arial Narrow"/>
        </w:rPr>
        <w:t>[</w:t>
      </w:r>
      <w:r>
        <w:rPr>
          <w:rFonts w:ascii="Times New Roman" w:hAnsi="Times New Roman"/>
        </w:rPr>
        <w:t>Ungheria</w:t>
      </w:r>
      <w:r>
        <w:rPr>
          <w:rFonts w:ascii="Arial Narrow" w:hAnsi="Arial Narrow"/>
        </w:rPr>
        <w:t>]</w:t>
      </w:r>
      <w:r w:rsidRPr="00873FE0">
        <w:rPr>
          <w:rFonts w:ascii="Times New Roman" w:hAnsi="Times New Roman"/>
        </w:rPr>
        <w:t xml:space="preserve">, giornale del partito di governo. András Cieger (a cura di), </w:t>
      </w:r>
      <w:r w:rsidRPr="00873FE0">
        <w:rPr>
          <w:rFonts w:ascii="Times New Roman" w:hAnsi="Times New Roman"/>
          <w:i/>
        </w:rPr>
        <w:t>A kiegyezés</w:t>
      </w:r>
      <w:r w:rsidRPr="00873FE0">
        <w:rPr>
          <w:rFonts w:ascii="Times New Roman" w:hAnsi="Times New Roman"/>
        </w:rPr>
        <w:t xml:space="preserve"> </w:t>
      </w:r>
      <w:r w:rsidRPr="00873FE0">
        <w:rPr>
          <w:rFonts w:ascii="Arial Narrow" w:hAnsi="Arial Narrow"/>
        </w:rPr>
        <w:t>[</w:t>
      </w:r>
      <w:r w:rsidRPr="00873FE0">
        <w:rPr>
          <w:rFonts w:ascii="Times New Roman" w:hAnsi="Times New Roman"/>
        </w:rPr>
        <w:t>Il compromesso</w:t>
      </w:r>
      <w:r w:rsidRPr="00873FE0">
        <w:rPr>
          <w:rFonts w:ascii="Arial Narrow" w:hAnsi="Arial Narrow"/>
        </w:rPr>
        <w:t>]</w:t>
      </w:r>
      <w:r w:rsidRPr="00873FE0">
        <w:rPr>
          <w:rFonts w:ascii="Times New Roman" w:hAnsi="Times New Roman"/>
        </w:rPr>
        <w:t xml:space="preserve">, </w:t>
      </w:r>
      <w:r>
        <w:rPr>
          <w:rFonts w:ascii="Times New Roman" w:hAnsi="Times New Roman"/>
        </w:rPr>
        <w:t>Osiris K</w:t>
      </w:r>
      <w:r w:rsidRPr="00B45D94">
        <w:rPr>
          <w:rFonts w:ascii="Times New Roman" w:hAnsi="Times New Roman"/>
        </w:rPr>
        <w:t>iadó</w:t>
      </w:r>
      <w:r>
        <w:rPr>
          <w:rFonts w:ascii="Times New Roman" w:hAnsi="Times New Roman"/>
        </w:rPr>
        <w:t xml:space="preserve">, </w:t>
      </w:r>
      <w:r w:rsidRPr="00873FE0">
        <w:rPr>
          <w:rFonts w:ascii="Times New Roman" w:hAnsi="Times New Roman"/>
        </w:rPr>
        <w:t xml:space="preserve">Budapest 2004, pp. 187-193. </w:t>
      </w:r>
    </w:p>
  </w:footnote>
  <w:footnote w:id="50">
    <w:p w14:paraId="2DFDE60B" w14:textId="1879B61A" w:rsidR="00591B49" w:rsidRPr="001E6D30" w:rsidRDefault="00591B49" w:rsidP="006D6265">
      <w:pPr>
        <w:pStyle w:val="Testonotaapidipagina"/>
        <w:ind w:right="567"/>
        <w:jc w:val="both"/>
        <w:rPr>
          <w:rFonts w:ascii="Times New Roman" w:hAnsi="Times New Roman"/>
        </w:rPr>
      </w:pPr>
      <w:r w:rsidRPr="00C947BB">
        <w:rPr>
          <w:rStyle w:val="Rimandonotaapidipagina"/>
          <w:rFonts w:ascii="Times New Roman" w:hAnsi="Times New Roman"/>
        </w:rPr>
        <w:footnoteRef/>
      </w:r>
      <w:r>
        <w:rPr>
          <w:rFonts w:ascii="Times New Roman" w:hAnsi="Times New Roman"/>
          <w:lang w:val="en-US"/>
        </w:rPr>
        <w:t xml:space="preserve"> Si veda</w:t>
      </w:r>
      <w:r w:rsidRPr="00C947BB">
        <w:rPr>
          <w:rFonts w:ascii="Times New Roman" w:hAnsi="Times New Roman"/>
          <w:lang w:val="en-US"/>
        </w:rPr>
        <w:t xml:space="preserve"> Robert</w:t>
      </w:r>
      <w:r>
        <w:rPr>
          <w:rFonts w:ascii="Times New Roman" w:hAnsi="Times New Roman"/>
          <w:lang w:val="en-US"/>
        </w:rPr>
        <w:t xml:space="preserve"> Adolf</w:t>
      </w:r>
      <w:r w:rsidRPr="00C947BB">
        <w:rPr>
          <w:rFonts w:ascii="Times New Roman" w:hAnsi="Times New Roman"/>
          <w:lang w:val="en-US"/>
        </w:rPr>
        <w:t xml:space="preserve"> Kann, </w:t>
      </w:r>
      <w:r w:rsidRPr="00C947BB">
        <w:rPr>
          <w:rFonts w:ascii="Times New Roman" w:hAnsi="Times New Roman"/>
          <w:i/>
          <w:lang w:val="en-US"/>
        </w:rPr>
        <w:t>The Multinational Empire. Nationalism and National Reform in the Habsburg Monarchy</w:t>
      </w:r>
      <w:r>
        <w:rPr>
          <w:rFonts w:ascii="Times New Roman" w:hAnsi="Times New Roman"/>
          <w:i/>
          <w:lang w:val="en-US"/>
        </w:rPr>
        <w:t>,</w:t>
      </w:r>
      <w:r w:rsidRPr="00C947BB">
        <w:rPr>
          <w:rFonts w:ascii="Times New Roman" w:hAnsi="Times New Roman"/>
          <w:i/>
          <w:lang w:val="en-US"/>
        </w:rPr>
        <w:t xml:space="preserve"> 1848-1918</w:t>
      </w:r>
      <w:r>
        <w:rPr>
          <w:rFonts w:ascii="Times New Roman" w:hAnsi="Times New Roman"/>
          <w:lang w:val="en-US"/>
        </w:rPr>
        <w:t xml:space="preserve">. Vol. 1. </w:t>
      </w:r>
      <w:r w:rsidRPr="00C947BB">
        <w:rPr>
          <w:rFonts w:ascii="Times New Roman" w:hAnsi="Times New Roman"/>
          <w:i/>
          <w:lang w:val="en-US"/>
        </w:rPr>
        <w:t>Empire and Nationalities</w:t>
      </w:r>
      <w:r>
        <w:rPr>
          <w:rFonts w:ascii="Times New Roman" w:hAnsi="Times New Roman"/>
          <w:lang w:val="en-US"/>
        </w:rPr>
        <w:t xml:space="preserve">, </w:t>
      </w:r>
      <w:r w:rsidRPr="00C947BB">
        <w:rPr>
          <w:rFonts w:ascii="Times New Roman" w:hAnsi="Times New Roman"/>
          <w:lang w:val="en-US"/>
        </w:rPr>
        <w:t>Columbia University Press, New York 1950</w:t>
      </w:r>
      <w:r>
        <w:rPr>
          <w:rFonts w:ascii="Times New Roman" w:hAnsi="Times New Roman"/>
          <w:lang w:val="en-US"/>
        </w:rPr>
        <w:t xml:space="preserve">, </w:t>
      </w:r>
      <w:r w:rsidRPr="00C947BB">
        <w:rPr>
          <w:rFonts w:ascii="Times New Roman" w:hAnsi="Times New Roman"/>
          <w:lang w:val="en-US"/>
        </w:rPr>
        <w:t>pp. 109-149;</w:t>
      </w:r>
      <w:r>
        <w:rPr>
          <w:rFonts w:ascii="Times New Roman" w:hAnsi="Times New Roman"/>
          <w:lang w:val="en-US"/>
        </w:rPr>
        <w:t xml:space="preserve"> nonché ibid.,</w:t>
      </w:r>
      <w:r w:rsidRPr="00C947BB">
        <w:rPr>
          <w:rFonts w:ascii="Times New Roman" w:hAnsi="Times New Roman"/>
          <w:lang w:val="en-US"/>
        </w:rPr>
        <w:t xml:space="preserve"> </w:t>
      </w:r>
      <w:r w:rsidRPr="003A4D26">
        <w:rPr>
          <w:rFonts w:ascii="Times New Roman" w:hAnsi="Times New Roman"/>
          <w:i/>
          <w:lang w:val="en-US"/>
        </w:rPr>
        <w:t>The Magyars</w:t>
      </w:r>
      <w:r>
        <w:rPr>
          <w:rFonts w:ascii="Times New Roman" w:hAnsi="Times New Roman"/>
          <w:lang w:val="en-US"/>
        </w:rPr>
        <w:t xml:space="preserve">, pp. 130-131; </w:t>
      </w:r>
      <w:r w:rsidRPr="005156D9">
        <w:rPr>
          <w:rFonts w:ascii="Times New Roman" w:hAnsi="Times New Roman"/>
          <w:lang w:val="en-US"/>
        </w:rPr>
        <w:t xml:space="preserve">János Varga, </w:t>
      </w:r>
      <w:r w:rsidRPr="005156D9">
        <w:rPr>
          <w:rFonts w:ascii="Times New Roman" w:hAnsi="Times New Roman"/>
          <w:i/>
          <w:lang w:val="en-US"/>
        </w:rPr>
        <w:t>Cél és taktika Deák Ferenc politikájában</w:t>
      </w:r>
      <w:r w:rsidRPr="005156D9">
        <w:rPr>
          <w:rFonts w:ascii="Times New Roman" w:hAnsi="Times New Roman"/>
          <w:lang w:val="en-US"/>
        </w:rPr>
        <w:t xml:space="preserve"> </w:t>
      </w:r>
      <w:r>
        <w:rPr>
          <w:rFonts w:ascii="Arial Narrow" w:hAnsi="Arial Narrow"/>
          <w:lang w:val="en-US"/>
        </w:rPr>
        <w:t>[</w:t>
      </w:r>
      <w:r w:rsidRPr="001E6D30">
        <w:rPr>
          <w:rFonts w:ascii="Times New Roman" w:hAnsi="Times New Roman"/>
          <w:lang w:val="en-US"/>
        </w:rPr>
        <w:t>Obiettivi e tattica nella politica di F. Deák],</w:t>
      </w:r>
      <w:r>
        <w:rPr>
          <w:rFonts w:ascii="Times New Roman" w:hAnsi="Times New Roman"/>
          <w:lang w:val="en-US"/>
        </w:rPr>
        <w:t xml:space="preserve"> </w:t>
      </w:r>
      <w:r w:rsidRPr="005156D9">
        <w:rPr>
          <w:rFonts w:ascii="Times New Roman" w:hAnsi="Times New Roman"/>
          <w:lang w:val="en-US"/>
        </w:rPr>
        <w:t xml:space="preserve">in  István Orosz, Ferenc Pöloskei, </w:t>
      </w:r>
      <w:r w:rsidRPr="005156D9">
        <w:rPr>
          <w:rFonts w:ascii="Times New Roman" w:hAnsi="Times New Roman"/>
          <w:i/>
          <w:lang w:val="en-US"/>
        </w:rPr>
        <w:t xml:space="preserve">Nemzeti és társadalmi átalakulás a XIX. </w:t>
      </w:r>
      <w:r w:rsidRPr="001E6D30">
        <w:rPr>
          <w:rFonts w:ascii="Times New Roman" w:hAnsi="Times New Roman"/>
          <w:i/>
        </w:rPr>
        <w:t>Századi Magyarországon</w:t>
      </w:r>
      <w:r w:rsidRPr="001E6D30">
        <w:rPr>
          <w:rFonts w:ascii="Times New Roman" w:hAnsi="Times New Roman"/>
        </w:rPr>
        <w:t xml:space="preserve"> </w:t>
      </w:r>
      <w:r w:rsidRPr="001E6D30">
        <w:rPr>
          <w:rFonts w:ascii="Arial Narrow" w:hAnsi="Arial Narrow"/>
        </w:rPr>
        <w:t>[</w:t>
      </w:r>
      <w:r w:rsidRPr="001E6D30">
        <w:rPr>
          <w:rFonts w:ascii="Times New Roman" w:hAnsi="Times New Roman"/>
        </w:rPr>
        <w:t>Trasformazione nazionale e sociale nell</w:t>
      </w:r>
      <w:r>
        <w:rPr>
          <w:rFonts w:ascii="Arial Narrow" w:hAnsi="Arial Narrow"/>
        </w:rPr>
        <w:t>'</w:t>
      </w:r>
      <w:r>
        <w:rPr>
          <w:rFonts w:ascii="Times New Roman" w:hAnsi="Times New Roman"/>
        </w:rPr>
        <w:t>Ungheria del XIX secolo</w:t>
      </w:r>
      <w:r>
        <w:rPr>
          <w:rFonts w:ascii="Arial Narrow" w:hAnsi="Arial Narrow"/>
        </w:rPr>
        <w:t>]</w:t>
      </w:r>
      <w:r>
        <w:rPr>
          <w:rFonts w:ascii="Times New Roman" w:hAnsi="Times New Roman"/>
        </w:rPr>
        <w:t xml:space="preserve">, </w:t>
      </w:r>
      <w:r w:rsidRPr="001E6D30">
        <w:rPr>
          <w:rFonts w:ascii="Times New Roman" w:hAnsi="Times New Roman"/>
        </w:rPr>
        <w:t>Korona Kiadó, Budapest 1994, pp.255-261.</w:t>
      </w:r>
    </w:p>
  </w:footnote>
  <w:footnote w:id="51">
    <w:p w14:paraId="006F0FA3" w14:textId="77777777" w:rsidR="00591B49" w:rsidRPr="008E0762" w:rsidRDefault="00591B49" w:rsidP="006D6265">
      <w:pPr>
        <w:pStyle w:val="Testonotaapidipagina"/>
        <w:ind w:right="567"/>
        <w:jc w:val="both"/>
        <w:rPr>
          <w:rFonts w:ascii="Times New Roman" w:hAnsi="Times New Roman"/>
        </w:rPr>
      </w:pPr>
      <w:r w:rsidRPr="00C947BB">
        <w:rPr>
          <w:rStyle w:val="Rimandonotaapidipagina"/>
          <w:rFonts w:ascii="Times New Roman" w:hAnsi="Times New Roman"/>
        </w:rPr>
        <w:footnoteRef/>
      </w:r>
      <w:r w:rsidRPr="008E0762">
        <w:rPr>
          <w:rFonts w:ascii="Times New Roman" w:hAnsi="Times New Roman"/>
        </w:rPr>
        <w:t xml:space="preserve"> Cfr. András Gerő, </w:t>
      </w:r>
      <w:r w:rsidRPr="008E0762">
        <w:rPr>
          <w:rFonts w:ascii="Times New Roman" w:hAnsi="Times New Roman"/>
          <w:i/>
        </w:rPr>
        <w:t>1867 kiegyezése két látószögből</w:t>
      </w:r>
      <w:r w:rsidRPr="008E0762">
        <w:rPr>
          <w:rFonts w:ascii="Times New Roman" w:hAnsi="Times New Roman"/>
        </w:rPr>
        <w:t xml:space="preserve"> [Il compromesso del 1867 da due prospettive], in Id., </w:t>
      </w:r>
      <w:r w:rsidRPr="008E0762">
        <w:rPr>
          <w:rFonts w:ascii="Times New Roman" w:hAnsi="Times New Roman"/>
          <w:i/>
        </w:rPr>
        <w:t>Szétszakított múlt</w:t>
      </w:r>
      <w:r w:rsidRPr="008E0762">
        <w:rPr>
          <w:rFonts w:ascii="Times New Roman" w:hAnsi="Times New Roman"/>
        </w:rPr>
        <w:t xml:space="preserve"> [Il passato lacerato], Habsburg Történeti Intézet, Budapest 2012, pp. 111-144.</w:t>
      </w:r>
    </w:p>
  </w:footnote>
  <w:footnote w:id="52">
    <w:p w14:paraId="1AC50F4C" w14:textId="02F5290A" w:rsidR="00591B49" w:rsidRPr="008233B4" w:rsidRDefault="00591B49">
      <w:pPr>
        <w:pStyle w:val="Testonotaapidipagina"/>
        <w:rPr>
          <w:rFonts w:ascii="Times New Roman" w:hAnsi="Times New Roman"/>
        </w:rPr>
      </w:pPr>
      <w:r>
        <w:rPr>
          <w:rStyle w:val="Rimandonotaapidipagina"/>
        </w:rPr>
        <w:footnoteRef/>
      </w:r>
      <w:r>
        <w:t xml:space="preserve"> </w:t>
      </w:r>
      <w:r w:rsidRPr="008233B4">
        <w:rPr>
          <w:rFonts w:ascii="Times New Roman" w:hAnsi="Times New Roman"/>
        </w:rPr>
        <w:t xml:space="preserve">Monika Kozári, </w:t>
      </w:r>
      <w:r w:rsidRPr="008233B4">
        <w:rPr>
          <w:rFonts w:ascii="Times New Roman" w:hAnsi="Times New Roman"/>
          <w:i/>
        </w:rPr>
        <w:t>Tisza Kálmán és Kormányzati rendszere</w:t>
      </w:r>
      <w:r w:rsidRPr="008233B4">
        <w:rPr>
          <w:rFonts w:ascii="Times New Roman" w:hAnsi="Times New Roman"/>
        </w:rPr>
        <w:t xml:space="preserve"> [K. Tisza e il suo sistema di governo], Napvilág Kiadó, Budapest</w:t>
      </w:r>
      <w:r>
        <w:rPr>
          <w:rFonts w:ascii="Times New Roman" w:hAnsi="Times New Roman"/>
        </w:rPr>
        <w:t xml:space="preserve"> 2003,</w:t>
      </w:r>
      <w:r w:rsidRPr="008233B4">
        <w:rPr>
          <w:rFonts w:ascii="Times New Roman" w:hAnsi="Times New Roman"/>
        </w:rPr>
        <w:t xml:space="preserve"> pp. 244-245.</w:t>
      </w:r>
    </w:p>
  </w:footnote>
  <w:footnote w:id="53">
    <w:p w14:paraId="78FF77AA" w14:textId="522B1C64" w:rsidR="00591B49" w:rsidRPr="00DF48E6" w:rsidRDefault="00591B49" w:rsidP="00A06D2D">
      <w:pPr>
        <w:pStyle w:val="Testonotaapidipagina"/>
        <w:ind w:right="567"/>
        <w:jc w:val="both"/>
        <w:rPr>
          <w:rFonts w:ascii="Times New Roman" w:hAnsi="Times New Roman"/>
        </w:rPr>
      </w:pPr>
      <w:r>
        <w:rPr>
          <w:rStyle w:val="Rimandonotaapidipagina"/>
        </w:rPr>
        <w:footnoteRef/>
      </w:r>
      <w:r>
        <w:t xml:space="preserve"> </w:t>
      </w:r>
      <w:r w:rsidRPr="00414177">
        <w:rPr>
          <w:rFonts w:ascii="Times New Roman" w:hAnsi="Times New Roman"/>
        </w:rPr>
        <w:t xml:space="preserve">Ad esempio Berchtold Sutter, </w:t>
      </w:r>
      <w:r w:rsidRPr="00414177">
        <w:rPr>
          <w:rFonts w:ascii="Times New Roman" w:hAnsi="Times New Roman"/>
          <w:i/>
        </w:rPr>
        <w:t>Die Ausgleichverhandlungen zwischen Österreich und Ungarn, 1867-1918</w:t>
      </w:r>
      <w:r w:rsidRPr="00414177">
        <w:rPr>
          <w:rFonts w:ascii="Times New Roman" w:hAnsi="Times New Roman"/>
        </w:rPr>
        <w:t>, [L</w:t>
      </w:r>
      <w:r>
        <w:rPr>
          <w:rFonts w:ascii="Times New Roman" w:hAnsi="Times New Roman"/>
        </w:rPr>
        <w:t>e trattative</w:t>
      </w:r>
      <w:r w:rsidRPr="00414177">
        <w:rPr>
          <w:rFonts w:ascii="Times New Roman" w:hAnsi="Times New Roman"/>
        </w:rPr>
        <w:t xml:space="preserve"> del compromesso fra Austria e Ungheria], in</w:t>
      </w:r>
      <w:r>
        <w:rPr>
          <w:rFonts w:ascii="Times New Roman" w:hAnsi="Times New Roman"/>
        </w:rPr>
        <w:t xml:space="preserve"> </w:t>
      </w:r>
      <w:r w:rsidRPr="00DF48E6">
        <w:rPr>
          <w:rFonts w:ascii="Times New Roman" w:hAnsi="Times New Roman"/>
          <w:i/>
        </w:rPr>
        <w:t>Der Österreichische Ausgleich von 1867. Seine Grundlagen und Auswirkungen</w:t>
      </w:r>
      <w:r>
        <w:rPr>
          <w:rFonts w:ascii="Times New Roman" w:hAnsi="Times New Roman"/>
        </w:rPr>
        <w:t xml:space="preserve">, </w:t>
      </w:r>
      <w:r>
        <w:rPr>
          <w:rFonts w:ascii="Arial Narrow" w:hAnsi="Arial Narrow"/>
        </w:rPr>
        <w:t>[</w:t>
      </w:r>
      <w:r>
        <w:rPr>
          <w:rFonts w:ascii="Times New Roman" w:hAnsi="Times New Roman"/>
        </w:rPr>
        <w:t>Il compromesso austriaco del 1867. Sue linee di fondo ed effetti</w:t>
      </w:r>
      <w:r>
        <w:rPr>
          <w:rFonts w:ascii="Arial Narrow" w:hAnsi="Arial Narrow"/>
        </w:rPr>
        <w:t>]</w:t>
      </w:r>
      <w:r>
        <w:rPr>
          <w:rFonts w:ascii="Times New Roman" w:hAnsi="Times New Roman"/>
        </w:rPr>
        <w:t>, M</w:t>
      </w:r>
      <w:r>
        <w:rPr>
          <w:rFonts w:ascii="Arial Narrow" w:hAnsi="Arial Narrow"/>
        </w:rPr>
        <w:t>ü</w:t>
      </w:r>
      <w:r>
        <w:rPr>
          <w:rFonts w:ascii="Times New Roman" w:hAnsi="Times New Roman"/>
        </w:rPr>
        <w:t xml:space="preserve">nchen </w:t>
      </w:r>
      <w:r w:rsidRPr="00DF48E6">
        <w:rPr>
          <w:rFonts w:ascii="Times New Roman" w:hAnsi="Times New Roman"/>
        </w:rPr>
        <w:t>1968</w:t>
      </w:r>
      <w:r w:rsidR="007678FA">
        <w:rPr>
          <w:rFonts w:ascii="Times New Roman" w:hAnsi="Times New Roman"/>
        </w:rPr>
        <w:t xml:space="preserve">, pp.71-111, </w:t>
      </w:r>
      <w:r>
        <w:rPr>
          <w:rFonts w:ascii="Times New Roman" w:hAnsi="Times New Roman"/>
        </w:rPr>
        <w:t xml:space="preserve">in particolare p. </w:t>
      </w:r>
      <w:r w:rsidRPr="00DF48E6">
        <w:rPr>
          <w:rFonts w:ascii="Times New Roman" w:hAnsi="Times New Roman"/>
        </w:rPr>
        <w:t>81</w:t>
      </w:r>
      <w:r>
        <w:rPr>
          <w:rFonts w:ascii="Times New Roman" w:hAnsi="Times New Roman"/>
        </w:rPr>
        <w:t>.</w:t>
      </w:r>
      <w:r w:rsidRPr="00DF48E6">
        <w:rPr>
          <w:rFonts w:ascii="Times New Roman" w:hAnsi="Times New Roman"/>
        </w:rPr>
        <w:t xml:space="preserve">  </w:t>
      </w:r>
    </w:p>
  </w:footnote>
  <w:footnote w:id="54">
    <w:p w14:paraId="576A3B9C" w14:textId="01D58001" w:rsidR="00856E0A" w:rsidRPr="00856E0A" w:rsidRDefault="00856E0A" w:rsidP="00856E0A">
      <w:pPr>
        <w:spacing w:before="100" w:beforeAutospacing="1" w:after="100" w:afterAutospacing="1" w:line="240" w:lineRule="auto"/>
        <w:ind w:right="567"/>
        <w:jc w:val="both"/>
        <w:rPr>
          <w:rFonts w:ascii="Times New Roman" w:hAnsi="Times New Roman"/>
          <w:sz w:val="20"/>
          <w:szCs w:val="20"/>
        </w:rPr>
      </w:pPr>
      <w:r>
        <w:rPr>
          <w:rStyle w:val="Rimandonotaapidipagina"/>
        </w:rPr>
        <w:footnoteRef/>
      </w:r>
      <w:r>
        <w:rPr>
          <w:rFonts w:ascii="Times New Roman" w:hAnsi="Times New Roman"/>
          <w:sz w:val="20"/>
          <w:szCs w:val="20"/>
        </w:rPr>
        <w:t xml:space="preserve"> </w:t>
      </w:r>
      <w:r w:rsidRPr="00856E0A">
        <w:rPr>
          <w:rFonts w:ascii="Times New Roman" w:hAnsi="Times New Roman"/>
          <w:sz w:val="20"/>
          <w:szCs w:val="20"/>
        </w:rPr>
        <w:t>Sulla</w:t>
      </w:r>
      <w:r>
        <w:rPr>
          <w:rFonts w:ascii="Times New Roman" w:hAnsi="Times New Roman"/>
          <w:sz w:val="20"/>
          <w:szCs w:val="20"/>
        </w:rPr>
        <w:t xml:space="preserve"> politica estera</w:t>
      </w:r>
      <w:r w:rsidRPr="00856E0A">
        <w:rPr>
          <w:rFonts w:ascii="Times New Roman" w:hAnsi="Times New Roman"/>
          <w:sz w:val="20"/>
          <w:szCs w:val="20"/>
        </w:rPr>
        <w:t xml:space="preserve"> del conte Gyula Andrássy</w:t>
      </w:r>
      <w:r>
        <w:rPr>
          <w:rFonts w:ascii="Times New Roman" w:hAnsi="Times New Roman"/>
          <w:sz w:val="20"/>
          <w:szCs w:val="20"/>
        </w:rPr>
        <w:t xml:space="preserve"> il vecchio rimane il punto di riferimento </w:t>
      </w:r>
      <w:r w:rsidRPr="00856E0A">
        <w:rPr>
          <w:rFonts w:ascii="Times New Roman" w:hAnsi="Times New Roman"/>
          <w:sz w:val="20"/>
          <w:szCs w:val="20"/>
        </w:rPr>
        <w:t xml:space="preserve">István Diószegi, </w:t>
      </w:r>
      <w:r w:rsidRPr="00856E0A">
        <w:rPr>
          <w:rFonts w:ascii="Times New Roman" w:hAnsi="Times New Roman"/>
          <w:i/>
          <w:sz w:val="20"/>
          <w:szCs w:val="20"/>
        </w:rPr>
        <w:t>Bismarck és Andrássy. Magyarország a német hatalmi politikában a XIX.század második felében</w:t>
      </w:r>
      <w:r w:rsidRPr="00856E0A">
        <w:rPr>
          <w:rFonts w:ascii="Times New Roman" w:hAnsi="Times New Roman"/>
          <w:sz w:val="20"/>
          <w:szCs w:val="20"/>
        </w:rPr>
        <w:t xml:space="preserve"> [L’Ungheria nella politica di potenza tedesca della seconda metà del XIX secolo], Teleki László Alapítvány, Budapest 1998.</w:t>
      </w:r>
    </w:p>
    <w:p w14:paraId="1F989568" w14:textId="4896856A" w:rsidR="00856E0A" w:rsidRPr="00856E0A" w:rsidRDefault="00856E0A" w:rsidP="00856E0A">
      <w:pPr>
        <w:pStyle w:val="Testonotaapidipagina"/>
        <w:jc w:val="both"/>
        <w:rPr>
          <w:rFonts w:ascii="Times New Roman" w:hAnsi="Times New Roman"/>
        </w:rPr>
      </w:pPr>
    </w:p>
  </w:footnote>
  <w:footnote w:id="55">
    <w:p w14:paraId="3FB79950" w14:textId="376CE01A" w:rsidR="00591B49" w:rsidRPr="00C947BB" w:rsidRDefault="00591B49" w:rsidP="006D6265">
      <w:pPr>
        <w:spacing w:after="0" w:line="240" w:lineRule="auto"/>
        <w:ind w:right="567"/>
        <w:jc w:val="both"/>
        <w:rPr>
          <w:rFonts w:ascii="Times New Roman" w:hAnsi="Times New Roman"/>
          <w:sz w:val="20"/>
          <w:szCs w:val="20"/>
        </w:rPr>
      </w:pPr>
      <w:r w:rsidRPr="00C947BB">
        <w:rPr>
          <w:rStyle w:val="Rimandonotaapidipagina"/>
          <w:rFonts w:ascii="Times New Roman" w:hAnsi="Times New Roman"/>
          <w:sz w:val="20"/>
          <w:szCs w:val="20"/>
        </w:rPr>
        <w:footnoteRef/>
      </w:r>
      <w:r>
        <w:rPr>
          <w:rFonts w:ascii="Times New Roman" w:hAnsi="Times New Roman"/>
          <w:sz w:val="20"/>
          <w:szCs w:val="20"/>
        </w:rPr>
        <w:t xml:space="preserve"> Circa </w:t>
      </w:r>
      <w:r w:rsidRPr="00C947BB">
        <w:rPr>
          <w:rFonts w:ascii="Times New Roman" w:hAnsi="Times New Roman"/>
          <w:sz w:val="20"/>
          <w:szCs w:val="20"/>
        </w:rPr>
        <w:t>la polit</w:t>
      </w:r>
      <w:r w:rsidR="007678FA">
        <w:rPr>
          <w:rFonts w:ascii="Times New Roman" w:hAnsi="Times New Roman"/>
          <w:sz w:val="20"/>
          <w:szCs w:val="20"/>
        </w:rPr>
        <w:t>ica di alleanze della M</w:t>
      </w:r>
      <w:r w:rsidRPr="00C947BB">
        <w:rPr>
          <w:rFonts w:ascii="Times New Roman" w:hAnsi="Times New Roman"/>
          <w:sz w:val="20"/>
          <w:szCs w:val="20"/>
        </w:rPr>
        <w:t>onarchia asburgica dal 1867 al 1918</w:t>
      </w:r>
      <w:r>
        <w:rPr>
          <w:rFonts w:ascii="Times New Roman" w:hAnsi="Times New Roman"/>
          <w:sz w:val="20"/>
          <w:szCs w:val="20"/>
        </w:rPr>
        <w:t>, cfr.</w:t>
      </w:r>
      <w:r w:rsidRPr="00C947BB">
        <w:rPr>
          <w:rFonts w:ascii="Times New Roman" w:hAnsi="Times New Roman"/>
          <w:sz w:val="20"/>
          <w:szCs w:val="20"/>
        </w:rPr>
        <w:t xml:space="preserve"> Konrad Canis, </w:t>
      </w:r>
      <w:r w:rsidRPr="00C947BB">
        <w:rPr>
          <w:rFonts w:ascii="Times New Roman" w:hAnsi="Times New Roman"/>
          <w:i/>
          <w:sz w:val="20"/>
          <w:szCs w:val="20"/>
        </w:rPr>
        <w:t>Die Bedrängte Großmacht. Österreich-Ungarn and das europäische Mächtsystem 1866/67-1914</w:t>
      </w:r>
      <w:r w:rsidRPr="00C947BB">
        <w:rPr>
          <w:rFonts w:ascii="Times New Roman" w:hAnsi="Times New Roman"/>
          <w:sz w:val="20"/>
          <w:szCs w:val="20"/>
        </w:rPr>
        <w:t xml:space="preserve"> </w:t>
      </w:r>
      <w:r w:rsidRPr="00050C9C">
        <w:rPr>
          <w:rFonts w:ascii="Times New Roman" w:hAnsi="Times New Roman"/>
          <w:sz w:val="20"/>
          <w:szCs w:val="20"/>
        </w:rPr>
        <w:t>[La Grande Potenza alle strette. L’Austria-Ungheria e il sistema delle Potenze in Europa, 1866/67-1914]</w:t>
      </w:r>
      <w:r>
        <w:rPr>
          <w:rFonts w:ascii="Times New Roman" w:hAnsi="Times New Roman"/>
          <w:sz w:val="20"/>
          <w:szCs w:val="20"/>
        </w:rPr>
        <w:t xml:space="preserve">, </w:t>
      </w:r>
      <w:r w:rsidRPr="00C947BB">
        <w:rPr>
          <w:rFonts w:ascii="Times New Roman" w:hAnsi="Times New Roman"/>
          <w:sz w:val="20"/>
          <w:szCs w:val="20"/>
        </w:rPr>
        <w:t>Ferdinand Schöningh, Paderborn 2016;</w:t>
      </w:r>
      <w:r>
        <w:rPr>
          <w:rFonts w:ascii="Times New Roman" w:hAnsi="Times New Roman"/>
          <w:sz w:val="20"/>
          <w:szCs w:val="20"/>
        </w:rPr>
        <w:t xml:space="preserve"> indi</w:t>
      </w:r>
      <w:r w:rsidRPr="00C947BB">
        <w:rPr>
          <w:rFonts w:ascii="Times New Roman" w:hAnsi="Times New Roman"/>
          <w:sz w:val="20"/>
          <w:szCs w:val="20"/>
        </w:rPr>
        <w:t xml:space="preserve"> István Diószegi, </w:t>
      </w:r>
      <w:r w:rsidRPr="00C947BB">
        <w:rPr>
          <w:rFonts w:ascii="Times New Roman" w:hAnsi="Times New Roman"/>
          <w:i/>
          <w:sz w:val="20"/>
          <w:szCs w:val="20"/>
        </w:rPr>
        <w:t>Az osztrák–magy</w:t>
      </w:r>
      <w:r>
        <w:rPr>
          <w:rFonts w:ascii="Times New Roman" w:hAnsi="Times New Roman"/>
          <w:i/>
          <w:sz w:val="20"/>
          <w:szCs w:val="20"/>
        </w:rPr>
        <w:t>ar Monarchia külpolitikája 1867-</w:t>
      </w:r>
      <w:r w:rsidRPr="00C947BB">
        <w:rPr>
          <w:rFonts w:ascii="Times New Roman" w:hAnsi="Times New Roman"/>
          <w:i/>
          <w:sz w:val="20"/>
          <w:szCs w:val="20"/>
        </w:rPr>
        <w:t>1918</w:t>
      </w:r>
      <w:r w:rsidRPr="00C947BB">
        <w:rPr>
          <w:rFonts w:ascii="Times New Roman" w:hAnsi="Times New Roman"/>
          <w:sz w:val="20"/>
          <w:szCs w:val="20"/>
        </w:rPr>
        <w:t>, [La politica estera della Monarchia austro-ungaric</w:t>
      </w:r>
      <w:r>
        <w:rPr>
          <w:rFonts w:ascii="Times New Roman" w:hAnsi="Times New Roman"/>
          <w:sz w:val="20"/>
          <w:szCs w:val="20"/>
        </w:rPr>
        <w:t>a, 1867-1918], Vince Kiadó, Budapest 2001.</w:t>
      </w:r>
    </w:p>
  </w:footnote>
  <w:footnote w:id="56">
    <w:p w14:paraId="01815547" w14:textId="3C9E9F24" w:rsidR="00591B49" w:rsidRPr="00DA46D7" w:rsidRDefault="00591B49" w:rsidP="00034E7F">
      <w:pPr>
        <w:pStyle w:val="Testonotaapidipagina"/>
        <w:ind w:right="567"/>
        <w:jc w:val="both"/>
      </w:pPr>
      <w:r>
        <w:rPr>
          <w:rStyle w:val="Rimandonotaapidipagina"/>
        </w:rPr>
        <w:footnoteRef/>
      </w:r>
      <w:r>
        <w:t xml:space="preserve"> </w:t>
      </w:r>
      <w:r w:rsidRPr="00DF2504">
        <w:rPr>
          <w:rFonts w:ascii="Times New Roman" w:hAnsi="Times New Roman"/>
        </w:rPr>
        <w:t xml:space="preserve">Un’efficace sintesi del sistema dualista è offerta da József Galántai, </w:t>
      </w:r>
      <w:r w:rsidRPr="00DF2504">
        <w:rPr>
          <w:rFonts w:ascii="Times New Roman" w:hAnsi="Times New Roman"/>
          <w:i/>
        </w:rPr>
        <w:t xml:space="preserve">Der Österreichisch-Ungarische Dualismus 1867-1918, </w:t>
      </w:r>
      <w:r w:rsidRPr="009131A1">
        <w:rPr>
          <w:rFonts w:ascii="Times New Roman" w:hAnsi="Times New Roman"/>
        </w:rPr>
        <w:t>Corvina/Österreichischer BundesVerlag, Budapest 1990</w:t>
      </w:r>
      <w:r w:rsidRPr="00DF2504">
        <w:rPr>
          <w:rFonts w:ascii="Times New Roman" w:hAnsi="Times New Roman"/>
          <w:i/>
        </w:rPr>
        <w:t xml:space="preserve">, </w:t>
      </w:r>
      <w:r w:rsidRPr="00DF2504">
        <w:rPr>
          <w:rFonts w:ascii="Times New Roman" w:hAnsi="Times New Roman"/>
        </w:rPr>
        <w:t>apparso precedentemente in versione ungherese con il titolo</w:t>
      </w:r>
      <w:r w:rsidRPr="00DF2504">
        <w:rPr>
          <w:rFonts w:ascii="Times New Roman" w:hAnsi="Times New Roman"/>
          <w:i/>
        </w:rPr>
        <w:t xml:space="preserve"> A Habsburg-monarchia alkonya</w:t>
      </w:r>
      <w:r>
        <w:rPr>
          <w:rFonts w:ascii="Times New Roman" w:hAnsi="Times New Roman"/>
        </w:rPr>
        <w:t xml:space="preserve"> </w:t>
      </w:r>
      <w:r w:rsidRPr="00DF2504">
        <w:rPr>
          <w:rFonts w:ascii="Arial Narrow" w:hAnsi="Arial Narrow"/>
        </w:rPr>
        <w:t>[</w:t>
      </w:r>
      <w:r>
        <w:rPr>
          <w:rFonts w:ascii="Times New Roman" w:hAnsi="Times New Roman"/>
        </w:rPr>
        <w:t>Il tramonto della</w:t>
      </w:r>
      <w:r w:rsidRPr="00DF2504">
        <w:rPr>
          <w:rFonts w:ascii="Times New Roman" w:hAnsi="Times New Roman"/>
        </w:rPr>
        <w:t xml:space="preserve"> Monarchia degli Asburgo</w:t>
      </w:r>
      <w:r w:rsidRPr="00DF2504">
        <w:rPr>
          <w:rFonts w:ascii="Arial Narrow" w:hAnsi="Arial Narrow"/>
        </w:rPr>
        <w:t>]</w:t>
      </w:r>
      <w:r>
        <w:rPr>
          <w:rFonts w:ascii="Times New Roman" w:hAnsi="Times New Roman"/>
        </w:rPr>
        <w:t>, Kossuth K</w:t>
      </w:r>
      <w:r w:rsidRPr="00DF2504">
        <w:rPr>
          <w:rFonts w:ascii="Times New Roman" w:hAnsi="Times New Roman"/>
        </w:rPr>
        <w:t>iadó, Budapest 1985.</w:t>
      </w:r>
    </w:p>
    <w:p w14:paraId="59B1411C" w14:textId="77777777" w:rsidR="00591B49" w:rsidRDefault="00591B49">
      <w:pPr>
        <w:pStyle w:val="Testonotaapidipagina"/>
      </w:pPr>
    </w:p>
  </w:footnote>
  <w:footnote w:id="57">
    <w:p w14:paraId="573D5EDA" w14:textId="671ED5E9" w:rsidR="00591B49" w:rsidRPr="007F522A" w:rsidRDefault="00591B49" w:rsidP="007F522A">
      <w:pPr>
        <w:pStyle w:val="Testonotaapidipagina"/>
        <w:ind w:right="567"/>
        <w:jc w:val="both"/>
        <w:rPr>
          <w:rFonts w:ascii="Times New Roman" w:hAnsi="Times New Roman"/>
          <w:lang w:val="en-US"/>
        </w:rPr>
      </w:pPr>
      <w:r w:rsidRPr="00BD19D8">
        <w:rPr>
          <w:rStyle w:val="Rimandonotaapidipagina"/>
          <w:rFonts w:ascii="Times New Roman" w:hAnsi="Times New Roman"/>
        </w:rPr>
        <w:footnoteRef/>
      </w:r>
      <w:r w:rsidRPr="00BD19D8">
        <w:rPr>
          <w:rFonts w:ascii="Times New Roman" w:hAnsi="Times New Roman"/>
          <w:lang w:val="en-US"/>
        </w:rPr>
        <w:t xml:space="preserve"> </w:t>
      </w:r>
      <w:r w:rsidRPr="007F522A">
        <w:rPr>
          <w:rFonts w:ascii="Times New Roman" w:hAnsi="Times New Roman"/>
          <w:lang w:val="en-US"/>
        </w:rPr>
        <w:t xml:space="preserve">Questa l’opinione di László Péter, </w:t>
      </w:r>
      <w:r w:rsidRPr="007F522A">
        <w:rPr>
          <w:rFonts w:ascii="Times New Roman" w:hAnsi="Times New Roman"/>
          <w:i/>
          <w:lang w:val="en-US"/>
        </w:rPr>
        <w:t>The Dualist Character of the 1867 Hungarian Settlement</w:t>
      </w:r>
      <w:r w:rsidRPr="007F522A">
        <w:rPr>
          <w:rFonts w:ascii="Times New Roman" w:hAnsi="Times New Roman"/>
          <w:lang w:val="en-US"/>
        </w:rPr>
        <w:t xml:space="preserve">, in György Ránki (a cura di), </w:t>
      </w:r>
      <w:r w:rsidRPr="007F522A">
        <w:rPr>
          <w:rFonts w:ascii="Times New Roman" w:hAnsi="Times New Roman"/>
          <w:i/>
          <w:lang w:val="en-US"/>
        </w:rPr>
        <w:t>Hungarian History – World History</w:t>
      </w:r>
      <w:r w:rsidRPr="007F522A">
        <w:rPr>
          <w:rFonts w:ascii="Times New Roman" w:hAnsi="Times New Roman"/>
          <w:lang w:val="en-US"/>
        </w:rPr>
        <w:t xml:space="preserve">, Indiana University Studies on Hungary, Budapest 1984, pp. 85-164, in particolare p. 118. </w:t>
      </w:r>
    </w:p>
  </w:footnote>
  <w:footnote w:id="58">
    <w:p w14:paraId="001BB17C" w14:textId="7DA5E6CC" w:rsidR="00591B49" w:rsidRPr="00C947BB" w:rsidRDefault="00591B49" w:rsidP="006D6265">
      <w:pPr>
        <w:spacing w:after="0" w:line="240" w:lineRule="auto"/>
        <w:ind w:right="567"/>
        <w:jc w:val="both"/>
        <w:rPr>
          <w:rFonts w:ascii="Times New Roman" w:hAnsi="Times New Roman"/>
          <w:sz w:val="20"/>
          <w:szCs w:val="20"/>
        </w:rPr>
      </w:pPr>
      <w:r w:rsidRPr="00C947BB">
        <w:rPr>
          <w:rStyle w:val="Rimandonotaapidipagina"/>
          <w:rFonts w:ascii="Times New Roman" w:hAnsi="Times New Roman"/>
          <w:sz w:val="20"/>
          <w:szCs w:val="20"/>
        </w:rPr>
        <w:footnoteRef/>
      </w:r>
      <w:r w:rsidRPr="00C947BB">
        <w:rPr>
          <w:rFonts w:ascii="Times New Roman" w:hAnsi="Times New Roman"/>
          <w:sz w:val="20"/>
          <w:szCs w:val="20"/>
        </w:rPr>
        <w:t xml:space="preserve"> Questa figura sostituiva quella storica del Palatino, il diretto rappresentante de</w:t>
      </w:r>
      <w:r>
        <w:rPr>
          <w:rFonts w:ascii="Times New Roman" w:hAnsi="Times New Roman"/>
          <w:sz w:val="20"/>
          <w:szCs w:val="20"/>
        </w:rPr>
        <w:t>l R</w:t>
      </w:r>
      <w:r w:rsidRPr="00C947BB">
        <w:rPr>
          <w:rFonts w:ascii="Times New Roman" w:hAnsi="Times New Roman"/>
          <w:sz w:val="20"/>
          <w:szCs w:val="20"/>
        </w:rPr>
        <w:t>e nella Dieta ungarica feudale, precede</w:t>
      </w:r>
      <w:r>
        <w:rPr>
          <w:rFonts w:ascii="Times New Roman" w:hAnsi="Times New Roman"/>
          <w:sz w:val="20"/>
          <w:szCs w:val="20"/>
        </w:rPr>
        <w:t>nte la rivoluzione del 1848. In relazione al</w:t>
      </w:r>
      <w:r w:rsidRPr="00C947BB">
        <w:rPr>
          <w:rFonts w:ascii="Times New Roman" w:hAnsi="Times New Roman"/>
          <w:sz w:val="20"/>
          <w:szCs w:val="20"/>
        </w:rPr>
        <w:t xml:space="preserve"> sistema di governo della Duplice Monarchia, si veda Ėva Somogyi, </w:t>
      </w:r>
      <w:r w:rsidRPr="00C947BB">
        <w:rPr>
          <w:rFonts w:ascii="Times New Roman" w:hAnsi="Times New Roman"/>
          <w:i/>
          <w:sz w:val="20"/>
          <w:szCs w:val="20"/>
        </w:rPr>
        <w:t>Kormányzati rendszer a dualista Habsburg Monarchiában</w:t>
      </w:r>
      <w:r w:rsidRPr="00C947BB">
        <w:rPr>
          <w:rFonts w:ascii="Times New Roman" w:hAnsi="Times New Roman"/>
          <w:sz w:val="20"/>
          <w:szCs w:val="20"/>
        </w:rPr>
        <w:t xml:space="preserve"> </w:t>
      </w:r>
      <w:r w:rsidRPr="00EE0A7A">
        <w:rPr>
          <w:rFonts w:ascii="Times New Roman" w:hAnsi="Times New Roman"/>
          <w:i/>
          <w:sz w:val="20"/>
          <w:szCs w:val="20"/>
        </w:rPr>
        <w:t>(</w:t>
      </w:r>
      <w:r w:rsidRPr="00C947BB">
        <w:rPr>
          <w:rFonts w:ascii="Times New Roman" w:hAnsi="Times New Roman"/>
          <w:i/>
          <w:sz w:val="20"/>
          <w:szCs w:val="20"/>
        </w:rPr>
        <w:t>a közöz minisztertanács 1867</w:t>
      </w:r>
      <w:r w:rsidRPr="00EE0A7A">
        <w:rPr>
          <w:rFonts w:ascii="Times New Roman" w:hAnsi="Times New Roman"/>
          <w:i/>
          <w:sz w:val="20"/>
          <w:szCs w:val="20"/>
        </w:rPr>
        <w:t>-1906)</w:t>
      </w:r>
      <w:r w:rsidRPr="00C947BB">
        <w:rPr>
          <w:rFonts w:ascii="Times New Roman" w:hAnsi="Times New Roman"/>
          <w:sz w:val="20"/>
          <w:szCs w:val="20"/>
        </w:rPr>
        <w:t xml:space="preserve"> [Il sistema di governo nella Monarchia dualista degli Asburgo. </w:t>
      </w:r>
      <w:r>
        <w:rPr>
          <w:rFonts w:ascii="Times New Roman" w:hAnsi="Times New Roman"/>
          <w:sz w:val="20"/>
          <w:szCs w:val="20"/>
        </w:rPr>
        <w:t>(</w:t>
      </w:r>
      <w:r w:rsidRPr="00C947BB">
        <w:rPr>
          <w:rFonts w:ascii="Times New Roman" w:hAnsi="Times New Roman"/>
          <w:sz w:val="20"/>
          <w:szCs w:val="20"/>
        </w:rPr>
        <w:t>Il consiglio comune dei ministri</w:t>
      </w:r>
      <w:r>
        <w:rPr>
          <w:rFonts w:ascii="Times New Roman" w:hAnsi="Times New Roman"/>
          <w:sz w:val="20"/>
          <w:szCs w:val="20"/>
        </w:rPr>
        <w:t>, 1867-1906)</w:t>
      </w:r>
      <w:r w:rsidRPr="00C947BB">
        <w:rPr>
          <w:rFonts w:ascii="Times New Roman" w:hAnsi="Times New Roman"/>
          <w:sz w:val="20"/>
          <w:szCs w:val="20"/>
        </w:rPr>
        <w:t>], MTA Történettudományi Intézete, Budapest 1996.</w:t>
      </w:r>
    </w:p>
  </w:footnote>
  <w:footnote w:id="59">
    <w:p w14:paraId="4174869D" w14:textId="77777777" w:rsidR="00591B49" w:rsidRPr="00C947BB" w:rsidRDefault="00591B49" w:rsidP="006D6265">
      <w:pPr>
        <w:spacing w:after="0" w:line="240" w:lineRule="auto"/>
        <w:ind w:right="567"/>
        <w:jc w:val="both"/>
        <w:rPr>
          <w:rFonts w:ascii="Times New Roman" w:hAnsi="Times New Roman"/>
          <w:i/>
          <w:sz w:val="20"/>
          <w:szCs w:val="20"/>
        </w:rPr>
      </w:pPr>
      <w:r w:rsidRPr="00C947BB">
        <w:rPr>
          <w:rStyle w:val="Rimandonotaapidipagina"/>
          <w:rFonts w:ascii="Times New Roman" w:hAnsi="Times New Roman"/>
          <w:sz w:val="20"/>
          <w:szCs w:val="20"/>
        </w:rPr>
        <w:footnoteRef/>
      </w:r>
      <w:r w:rsidRPr="00C947BB">
        <w:rPr>
          <w:rFonts w:ascii="Times New Roman" w:hAnsi="Times New Roman"/>
          <w:sz w:val="20"/>
          <w:szCs w:val="20"/>
        </w:rPr>
        <w:t xml:space="preserve"> Per lo studio dell’</w:t>
      </w:r>
      <w:r>
        <w:rPr>
          <w:rFonts w:ascii="Times New Roman" w:hAnsi="Times New Roman"/>
          <w:sz w:val="20"/>
          <w:szCs w:val="20"/>
        </w:rPr>
        <w:t>attività del governo comune è</w:t>
      </w:r>
      <w:r w:rsidRPr="00C947BB">
        <w:rPr>
          <w:rFonts w:ascii="Times New Roman" w:hAnsi="Times New Roman"/>
          <w:sz w:val="20"/>
          <w:szCs w:val="20"/>
        </w:rPr>
        <w:t xml:space="preserve"> </w:t>
      </w:r>
      <w:r>
        <w:rPr>
          <w:rFonts w:ascii="Times New Roman" w:hAnsi="Times New Roman"/>
          <w:sz w:val="20"/>
          <w:szCs w:val="20"/>
        </w:rPr>
        <w:t>un’ottima fonte la</w:t>
      </w:r>
      <w:r w:rsidRPr="00C947BB">
        <w:rPr>
          <w:rFonts w:ascii="Times New Roman" w:hAnsi="Times New Roman"/>
          <w:sz w:val="20"/>
          <w:szCs w:val="20"/>
        </w:rPr>
        <w:t xml:space="preserve"> raccolta dei Protocolli delle sedute.</w:t>
      </w:r>
      <w:r>
        <w:rPr>
          <w:rFonts w:ascii="Times New Roman" w:hAnsi="Times New Roman"/>
          <w:sz w:val="20"/>
          <w:szCs w:val="20"/>
        </w:rPr>
        <w:t xml:space="preserve"> Cfr. Ėva Somogyi-István Diószegi-Anatol Schmied </w:t>
      </w:r>
      <w:r w:rsidRPr="00C947BB">
        <w:rPr>
          <w:rFonts w:ascii="Times New Roman" w:hAnsi="Times New Roman"/>
          <w:sz w:val="20"/>
          <w:szCs w:val="20"/>
        </w:rPr>
        <w:t>Kowarzik</w:t>
      </w:r>
      <w:r>
        <w:rPr>
          <w:rFonts w:ascii="Times New Roman" w:hAnsi="Times New Roman"/>
          <w:sz w:val="20"/>
          <w:szCs w:val="20"/>
        </w:rPr>
        <w:t>-</w:t>
      </w:r>
      <w:r w:rsidRPr="00C947BB">
        <w:rPr>
          <w:rFonts w:ascii="Times New Roman" w:hAnsi="Times New Roman"/>
          <w:sz w:val="20"/>
          <w:szCs w:val="20"/>
        </w:rPr>
        <w:t>Miklós Komjáthy (a cura di)</w:t>
      </w:r>
      <w:r w:rsidRPr="00EE0A7A">
        <w:rPr>
          <w:rFonts w:ascii="Times New Roman" w:hAnsi="Times New Roman"/>
          <w:sz w:val="20"/>
          <w:szCs w:val="20"/>
        </w:rPr>
        <w:t>,</w:t>
      </w:r>
      <w:r w:rsidRPr="00C947BB">
        <w:rPr>
          <w:rFonts w:ascii="Times New Roman" w:hAnsi="Times New Roman"/>
          <w:i/>
          <w:sz w:val="20"/>
          <w:szCs w:val="20"/>
        </w:rPr>
        <w:t xml:space="preserve"> Die Protokolle des gemeinsamen Ministerrates der österreichisch-ungarischen Monarchie 1867-1918 </w:t>
      </w:r>
      <w:r w:rsidRPr="00C947BB">
        <w:rPr>
          <w:rFonts w:ascii="Times New Roman" w:hAnsi="Times New Roman"/>
          <w:sz w:val="20"/>
          <w:szCs w:val="20"/>
        </w:rPr>
        <w:t>[I proto</w:t>
      </w:r>
      <w:r>
        <w:rPr>
          <w:rFonts w:ascii="Times New Roman" w:hAnsi="Times New Roman"/>
          <w:sz w:val="20"/>
          <w:szCs w:val="20"/>
        </w:rPr>
        <w:t>colli del Consiglio comune dei M</w:t>
      </w:r>
      <w:r w:rsidRPr="00C947BB">
        <w:rPr>
          <w:rFonts w:ascii="Times New Roman" w:hAnsi="Times New Roman"/>
          <w:sz w:val="20"/>
          <w:szCs w:val="20"/>
        </w:rPr>
        <w:t>inistri della Monarchia austro-ungarica</w:t>
      </w:r>
      <w:r>
        <w:rPr>
          <w:rFonts w:ascii="Times New Roman" w:hAnsi="Times New Roman"/>
          <w:sz w:val="20"/>
          <w:szCs w:val="20"/>
        </w:rPr>
        <w:t>, 1867-1918</w:t>
      </w:r>
      <w:r w:rsidRPr="00C947BB">
        <w:rPr>
          <w:rFonts w:ascii="Times New Roman" w:hAnsi="Times New Roman"/>
          <w:sz w:val="20"/>
          <w:szCs w:val="20"/>
        </w:rPr>
        <w:t>], Akadémiai Kiadó, Budapest 1991-2012.</w:t>
      </w:r>
    </w:p>
  </w:footnote>
  <w:footnote w:id="60">
    <w:p w14:paraId="5912120B" w14:textId="0689B8A6" w:rsidR="00591B49" w:rsidRPr="008F5AEC" w:rsidRDefault="00591B49" w:rsidP="00B85591">
      <w:pPr>
        <w:pStyle w:val="Testonotaapidipagina"/>
        <w:ind w:right="567"/>
        <w:jc w:val="both"/>
        <w:rPr>
          <w:rFonts w:ascii="Times New Roman" w:hAnsi="Times New Roman"/>
        </w:rPr>
      </w:pPr>
      <w:r>
        <w:rPr>
          <w:rStyle w:val="Rimandonotaapidipagina"/>
        </w:rPr>
        <w:footnoteRef/>
      </w:r>
      <w:r>
        <w:t xml:space="preserve"> </w:t>
      </w:r>
      <w:r>
        <w:rPr>
          <w:rFonts w:ascii="Times New Roman" w:hAnsi="Times New Roman"/>
        </w:rPr>
        <w:t>L</w:t>
      </w:r>
      <w:r w:rsidRPr="00BD131C">
        <w:rPr>
          <w:rFonts w:ascii="Times New Roman" w:hAnsi="Times New Roman"/>
        </w:rPr>
        <w:t>a frustrazione dei tedeschi dell’</w:t>
      </w:r>
      <w:r>
        <w:rPr>
          <w:rFonts w:ascii="Times New Roman" w:hAnsi="Times New Roman"/>
        </w:rPr>
        <w:t>Austria fu notevole nel ritrovarsi in una condizione simile a quella di polacchi e italiani, dopo aver fatto parte del</w:t>
      </w:r>
      <w:r w:rsidRPr="00BD131C">
        <w:rPr>
          <w:rFonts w:ascii="Times New Roman" w:hAnsi="Times New Roman"/>
        </w:rPr>
        <w:t xml:space="preserve"> Bund tedesco fino al 1866 e partecipato all’</w:t>
      </w:r>
      <w:r>
        <w:rPr>
          <w:rFonts w:ascii="Times New Roman" w:hAnsi="Times New Roman"/>
        </w:rPr>
        <w:t>Assemblea nazionale di Francoforte</w:t>
      </w:r>
      <w:r w:rsidRPr="00BD131C">
        <w:rPr>
          <w:rFonts w:ascii="Times New Roman" w:hAnsi="Times New Roman"/>
        </w:rPr>
        <w:t xml:space="preserve"> nel 1848.</w:t>
      </w:r>
      <w:r>
        <w:rPr>
          <w:rFonts w:ascii="Times New Roman" w:hAnsi="Times New Roman"/>
        </w:rPr>
        <w:t xml:space="preserve"> </w:t>
      </w:r>
      <w:r w:rsidRPr="008F5AEC">
        <w:rPr>
          <w:rFonts w:ascii="Times New Roman" w:hAnsi="Times New Roman"/>
        </w:rPr>
        <w:t xml:space="preserve">Berchtold Sutter, </w:t>
      </w:r>
      <w:r w:rsidRPr="008F5AEC">
        <w:rPr>
          <w:rFonts w:ascii="Times New Roman" w:hAnsi="Times New Roman"/>
          <w:i/>
        </w:rPr>
        <w:t xml:space="preserve">Die politische und rechtliche Stellung der Deutschen in </w:t>
      </w:r>
      <w:r w:rsidRPr="008F5AEC">
        <w:rPr>
          <w:rFonts w:ascii="Arial Narrow" w:hAnsi="Arial Narrow"/>
          <w:i/>
        </w:rPr>
        <w:t>Ö</w:t>
      </w:r>
      <w:r w:rsidRPr="008F5AEC">
        <w:rPr>
          <w:rFonts w:ascii="Times New Roman" w:hAnsi="Times New Roman"/>
          <w:i/>
        </w:rPr>
        <w:t>sterreich 1848-1918</w:t>
      </w:r>
      <w:r w:rsidRPr="008F5AEC">
        <w:rPr>
          <w:rFonts w:ascii="Times New Roman" w:hAnsi="Times New Roman"/>
        </w:rPr>
        <w:t xml:space="preserve"> </w:t>
      </w:r>
      <w:r w:rsidRPr="008F5AEC">
        <w:rPr>
          <w:rFonts w:ascii="Arial Narrow" w:hAnsi="Arial Narrow"/>
        </w:rPr>
        <w:t>[</w:t>
      </w:r>
      <w:r w:rsidRPr="008F5AEC">
        <w:rPr>
          <w:rFonts w:ascii="Times New Roman" w:hAnsi="Times New Roman"/>
        </w:rPr>
        <w:t>La posizione politica e giuridica dei tedeschi in Austria</w:t>
      </w:r>
      <w:r>
        <w:rPr>
          <w:rFonts w:ascii="Arial Narrow" w:hAnsi="Arial Narrow"/>
        </w:rPr>
        <w:t>]</w:t>
      </w:r>
      <w:r>
        <w:rPr>
          <w:rFonts w:ascii="Times New Roman" w:hAnsi="Times New Roman"/>
        </w:rPr>
        <w:t>,</w:t>
      </w:r>
      <w:r w:rsidRPr="008F5AEC">
        <w:rPr>
          <w:rFonts w:ascii="Times New Roman" w:hAnsi="Times New Roman"/>
        </w:rPr>
        <w:t xml:space="preserve"> in</w:t>
      </w:r>
      <w:r>
        <w:rPr>
          <w:rFonts w:ascii="Times New Roman" w:hAnsi="Times New Roman"/>
        </w:rPr>
        <w:t xml:space="preserve"> Adam Wandruszka, Peter Urbanitsch (a cura di), </w:t>
      </w:r>
      <w:r w:rsidRPr="008F5AEC">
        <w:rPr>
          <w:rFonts w:ascii="Times New Roman" w:hAnsi="Times New Roman"/>
          <w:i/>
        </w:rPr>
        <w:t>Die Habsburger</w:t>
      </w:r>
      <w:r>
        <w:rPr>
          <w:rFonts w:ascii="Times New Roman" w:hAnsi="Times New Roman"/>
          <w:i/>
        </w:rPr>
        <w:t>m</w:t>
      </w:r>
      <w:r w:rsidRPr="008F5AEC">
        <w:rPr>
          <w:rFonts w:ascii="Times New Roman" w:hAnsi="Times New Roman"/>
          <w:i/>
        </w:rPr>
        <w:t>onarchie 1848-1918</w:t>
      </w:r>
      <w:r>
        <w:rPr>
          <w:rFonts w:ascii="Times New Roman" w:hAnsi="Times New Roman"/>
        </w:rPr>
        <w:t xml:space="preserve">, Vol III, </w:t>
      </w:r>
      <w:r w:rsidRPr="008F5AEC">
        <w:rPr>
          <w:rFonts w:ascii="Times New Roman" w:hAnsi="Times New Roman"/>
          <w:i/>
        </w:rPr>
        <w:t>Die Völker des Reiches</w:t>
      </w:r>
      <w:r>
        <w:rPr>
          <w:rFonts w:ascii="Times New Roman" w:hAnsi="Times New Roman"/>
        </w:rPr>
        <w:t xml:space="preserve"> </w:t>
      </w:r>
      <w:r>
        <w:rPr>
          <w:rFonts w:ascii="Arial Narrow" w:hAnsi="Arial Narrow"/>
        </w:rPr>
        <w:t>[</w:t>
      </w:r>
      <w:r>
        <w:rPr>
          <w:rFonts w:ascii="Times New Roman" w:hAnsi="Times New Roman"/>
        </w:rPr>
        <w:t>I popoli dell’impero</w:t>
      </w:r>
      <w:r>
        <w:rPr>
          <w:rFonts w:ascii="Arial Narrow" w:hAnsi="Arial Narrow"/>
        </w:rPr>
        <w:t>],</w:t>
      </w:r>
      <w:r w:rsidRPr="008F5AEC">
        <w:rPr>
          <w:rFonts w:ascii="Times New Roman" w:hAnsi="Times New Roman"/>
        </w:rPr>
        <w:t>Verlag der Österreichisc</w:t>
      </w:r>
      <w:r>
        <w:rPr>
          <w:rFonts w:ascii="Times New Roman" w:hAnsi="Times New Roman"/>
        </w:rPr>
        <w:t>hes Akademie der Wissenschaften (</w:t>
      </w:r>
      <w:r>
        <w:rPr>
          <w:rFonts w:ascii="Arial Narrow" w:hAnsi="Arial Narrow"/>
        </w:rPr>
        <w:t>Ö</w:t>
      </w:r>
      <w:r>
        <w:rPr>
          <w:rFonts w:ascii="Times New Roman" w:hAnsi="Times New Roman"/>
        </w:rPr>
        <w:t xml:space="preserve">AW), Wien 1980, pp. 154-239.  </w:t>
      </w:r>
      <w:r w:rsidRPr="008F5AEC">
        <w:rPr>
          <w:rFonts w:ascii="Times New Roman" w:hAnsi="Times New Roman"/>
        </w:rPr>
        <w:t xml:space="preserve">  </w:t>
      </w:r>
    </w:p>
  </w:footnote>
  <w:footnote w:id="61">
    <w:p w14:paraId="04DCE9A5" w14:textId="0FBFA779" w:rsidR="00591B49" w:rsidRPr="004B13D1" w:rsidRDefault="00591B49" w:rsidP="004B13D1">
      <w:pPr>
        <w:pStyle w:val="Testonotaapidipagina"/>
        <w:spacing w:before="100" w:beforeAutospacing="1" w:after="100" w:afterAutospacing="1"/>
        <w:ind w:right="567"/>
        <w:jc w:val="both"/>
        <w:rPr>
          <w:rFonts w:ascii="Times New Roman" w:hAnsi="Times New Roman"/>
        </w:rPr>
      </w:pPr>
      <w:r>
        <w:rPr>
          <w:rStyle w:val="Rimandonotaapidipagina"/>
        </w:rPr>
        <w:footnoteRef/>
      </w:r>
      <w:r>
        <w:t xml:space="preserve"> </w:t>
      </w:r>
      <w:r w:rsidRPr="004B13D1">
        <w:rPr>
          <w:rFonts w:ascii="Times New Roman" w:hAnsi="Times New Roman"/>
        </w:rPr>
        <w:t>Il borgomastro cattolico popolare di Vienna, Karl Lueger (1897-1910), era solito apostrofare gli ungheresi come la ‘cricca giudaico-magiara</w:t>
      </w:r>
      <w:r>
        <w:rPr>
          <w:rFonts w:ascii="Times New Roman" w:hAnsi="Times New Roman"/>
        </w:rPr>
        <w:t xml:space="preserve">’. Lothar Hobelt, </w:t>
      </w:r>
      <w:r w:rsidRPr="00B5229A">
        <w:rPr>
          <w:rFonts w:ascii="Times New Roman" w:hAnsi="Times New Roman"/>
          <w:i/>
        </w:rPr>
        <w:t>Ausztria és az 1867. évi kiegyezés</w:t>
      </w:r>
      <w:r>
        <w:rPr>
          <w:rFonts w:ascii="Times New Roman" w:hAnsi="Times New Roman"/>
        </w:rPr>
        <w:t xml:space="preserve"> </w:t>
      </w:r>
      <w:r>
        <w:rPr>
          <w:rFonts w:ascii="Arial Narrow" w:hAnsi="Arial Narrow"/>
        </w:rPr>
        <w:t>[</w:t>
      </w:r>
      <w:r>
        <w:rPr>
          <w:rFonts w:ascii="Times New Roman" w:hAnsi="Times New Roman"/>
        </w:rPr>
        <w:t>L</w:t>
      </w:r>
      <w:r w:rsidRPr="00B5229A">
        <w:rPr>
          <w:rFonts w:ascii="Times New Roman" w:hAnsi="Times New Roman"/>
        </w:rPr>
        <w:t>’Austria e il compromesso del 1867</w:t>
      </w:r>
      <w:r w:rsidRPr="00B5229A">
        <w:rPr>
          <w:rFonts w:ascii="Arial Narrow" w:hAnsi="Arial Narrow"/>
        </w:rPr>
        <w:t>]</w:t>
      </w:r>
      <w:r>
        <w:rPr>
          <w:rFonts w:ascii="Times New Roman" w:hAnsi="Times New Roman"/>
        </w:rPr>
        <w:t xml:space="preserve"> in </w:t>
      </w:r>
      <w:r w:rsidRPr="008B434D">
        <w:rPr>
          <w:rFonts w:ascii="Times New Roman" w:hAnsi="Times New Roman"/>
        </w:rPr>
        <w:t>Róbert Hermann, Dávid Ligeti (a cura di),</w:t>
      </w:r>
      <w:r>
        <w:rPr>
          <w:rFonts w:ascii="Arial Narrow" w:hAnsi="Arial Narrow"/>
        </w:rPr>
        <w:t xml:space="preserve"> </w:t>
      </w:r>
      <w:r w:rsidRPr="008B434D">
        <w:rPr>
          <w:rFonts w:ascii="Times New Roman" w:hAnsi="Times New Roman"/>
          <w:i/>
        </w:rPr>
        <w:t>Megosztó Kompromisszum. Az 1867-es kiegyezés sikerei és kudarcai 150 év távlatából</w:t>
      </w:r>
      <w:r>
        <w:rPr>
          <w:rFonts w:ascii="Times New Roman" w:hAnsi="Times New Roman"/>
          <w:i/>
        </w:rPr>
        <w:t xml:space="preserve">, </w:t>
      </w:r>
      <w:r w:rsidRPr="00B5229A">
        <w:rPr>
          <w:rFonts w:ascii="Arial Narrow" w:hAnsi="Arial Narrow"/>
        </w:rPr>
        <w:t>[</w:t>
      </w:r>
      <w:r>
        <w:rPr>
          <w:rFonts w:ascii="Times New Roman" w:hAnsi="Times New Roman"/>
        </w:rPr>
        <w:t>Un C</w:t>
      </w:r>
      <w:r w:rsidRPr="00B5229A">
        <w:rPr>
          <w:rFonts w:ascii="Times New Roman" w:hAnsi="Times New Roman"/>
        </w:rPr>
        <w:t>ompromesso condiviso. Successi e fallimenti del compromesso del 1867 a 150 anni di distanza</w:t>
      </w:r>
      <w:r w:rsidRPr="00B5229A">
        <w:rPr>
          <w:rFonts w:ascii="Arial Narrow" w:hAnsi="Arial Narrow"/>
        </w:rPr>
        <w:t>]</w:t>
      </w:r>
      <w:r>
        <w:rPr>
          <w:rFonts w:ascii="Times New Roman" w:hAnsi="Times New Roman"/>
        </w:rPr>
        <w:t>,</w:t>
      </w:r>
      <w:r w:rsidRPr="008B434D">
        <w:rPr>
          <w:rFonts w:ascii="Times New Roman" w:hAnsi="Times New Roman"/>
        </w:rPr>
        <w:t xml:space="preserve"> </w:t>
      </w:r>
      <w:r w:rsidRPr="00B5229A">
        <w:rPr>
          <w:rFonts w:ascii="Times New Roman" w:hAnsi="Times New Roman"/>
        </w:rPr>
        <w:t xml:space="preserve">Országház </w:t>
      </w:r>
      <w:r w:rsidRPr="008B434D">
        <w:rPr>
          <w:rFonts w:ascii="Times New Roman" w:hAnsi="Times New Roman"/>
        </w:rPr>
        <w:t>Könyvkiadó</w:t>
      </w:r>
      <w:r>
        <w:rPr>
          <w:rFonts w:ascii="Times New Roman" w:hAnsi="Times New Roman"/>
        </w:rPr>
        <w:t xml:space="preserve"> </w:t>
      </w:r>
      <w:r>
        <w:rPr>
          <w:rFonts w:ascii="Arial Narrow" w:hAnsi="Arial Narrow"/>
        </w:rPr>
        <w:t>[</w:t>
      </w:r>
      <w:r>
        <w:rPr>
          <w:rFonts w:ascii="Times New Roman" w:hAnsi="Times New Roman"/>
        </w:rPr>
        <w:t>Edizioni del Parlamento</w:t>
      </w:r>
      <w:r>
        <w:rPr>
          <w:rFonts w:ascii="Arial Narrow" w:hAnsi="Arial Narrow"/>
        </w:rPr>
        <w:t>]</w:t>
      </w:r>
      <w:r w:rsidRPr="008B434D">
        <w:rPr>
          <w:rFonts w:ascii="Times New Roman" w:hAnsi="Times New Roman"/>
        </w:rPr>
        <w:t>, Budapest 2018</w:t>
      </w:r>
      <w:r>
        <w:rPr>
          <w:rFonts w:ascii="Times New Roman" w:hAnsi="Times New Roman"/>
        </w:rPr>
        <w:t xml:space="preserve">, pp. 39-52, in particolare p. 49.  </w:t>
      </w:r>
      <w:r w:rsidRPr="004B13D1">
        <w:rPr>
          <w:rFonts w:ascii="Times New Roman" w:hAnsi="Times New Roman"/>
        </w:rPr>
        <w:t xml:space="preserve"> </w:t>
      </w:r>
    </w:p>
  </w:footnote>
  <w:footnote w:id="62">
    <w:p w14:paraId="70D23387" w14:textId="77777777" w:rsidR="00591B49" w:rsidRPr="003614C4" w:rsidRDefault="00591B49" w:rsidP="00EE1931">
      <w:pPr>
        <w:pStyle w:val="Testonotaapidipagina"/>
        <w:ind w:right="567"/>
        <w:jc w:val="both"/>
        <w:rPr>
          <w:rFonts w:ascii="Times New Roman" w:hAnsi="Times New Roman"/>
        </w:rPr>
      </w:pPr>
      <w:r>
        <w:rPr>
          <w:rStyle w:val="Rimandonotaapidipagina"/>
        </w:rPr>
        <w:footnoteRef/>
      </w:r>
      <w:r w:rsidRPr="003614C4">
        <w:t xml:space="preserve"> </w:t>
      </w:r>
      <w:r w:rsidRPr="003614C4">
        <w:rPr>
          <w:rFonts w:ascii="Times New Roman" w:hAnsi="Times New Roman"/>
        </w:rPr>
        <w:t xml:space="preserve">Péter Hanák, </w:t>
      </w:r>
      <w:r w:rsidRPr="003614C4">
        <w:rPr>
          <w:rFonts w:ascii="Times New Roman" w:hAnsi="Times New Roman"/>
          <w:i/>
        </w:rPr>
        <w:t>Die Stellung Ungarns In der Monarchie</w:t>
      </w:r>
      <w:r w:rsidRPr="003614C4">
        <w:rPr>
          <w:rFonts w:ascii="Times New Roman" w:hAnsi="Times New Roman"/>
        </w:rPr>
        <w:t xml:space="preserve">, </w:t>
      </w:r>
      <w:r>
        <w:rPr>
          <w:rFonts w:ascii="Arial Narrow" w:hAnsi="Arial Narrow"/>
        </w:rPr>
        <w:t>[</w:t>
      </w:r>
      <w:r>
        <w:rPr>
          <w:rFonts w:ascii="Times New Roman" w:hAnsi="Times New Roman"/>
        </w:rPr>
        <w:t>La posizione dell’Ungheria nella Monarchia</w:t>
      </w:r>
      <w:r>
        <w:rPr>
          <w:rFonts w:ascii="Arial Narrow" w:hAnsi="Arial Narrow"/>
        </w:rPr>
        <w:t>]</w:t>
      </w:r>
      <w:r>
        <w:rPr>
          <w:rFonts w:ascii="Times New Roman" w:hAnsi="Times New Roman"/>
        </w:rPr>
        <w:t xml:space="preserve">, </w:t>
      </w:r>
      <w:r w:rsidRPr="003614C4">
        <w:rPr>
          <w:rFonts w:ascii="Times New Roman" w:hAnsi="Times New Roman"/>
        </w:rPr>
        <w:t>in F</w:t>
      </w:r>
      <w:r>
        <w:rPr>
          <w:rFonts w:ascii="Times New Roman" w:hAnsi="Times New Roman"/>
        </w:rPr>
        <w:t>riedrich</w:t>
      </w:r>
      <w:r w:rsidRPr="003614C4">
        <w:rPr>
          <w:rFonts w:ascii="Times New Roman" w:hAnsi="Times New Roman"/>
        </w:rPr>
        <w:t xml:space="preserve"> Engel-Já</w:t>
      </w:r>
      <w:r>
        <w:rPr>
          <w:rFonts w:ascii="Times New Roman" w:hAnsi="Times New Roman"/>
        </w:rPr>
        <w:t>nosi, Helmut Rumpler (</w:t>
      </w:r>
      <w:r w:rsidRPr="003614C4">
        <w:rPr>
          <w:rFonts w:ascii="Times New Roman" w:hAnsi="Times New Roman"/>
        </w:rPr>
        <w:t xml:space="preserve">a cura di), </w:t>
      </w:r>
      <w:r w:rsidRPr="003614C4">
        <w:rPr>
          <w:rFonts w:ascii="Times New Roman" w:hAnsi="Times New Roman"/>
          <w:i/>
        </w:rPr>
        <w:t>Probleme der Franzisco-Josephinische Zeit, 1848-1916</w:t>
      </w:r>
      <w:r>
        <w:rPr>
          <w:rFonts w:ascii="Times New Roman" w:hAnsi="Times New Roman"/>
        </w:rPr>
        <w:t xml:space="preserve"> </w:t>
      </w:r>
      <w:r>
        <w:rPr>
          <w:rFonts w:ascii="Arial Narrow" w:hAnsi="Arial Narrow"/>
        </w:rPr>
        <w:t>[</w:t>
      </w:r>
      <w:r>
        <w:rPr>
          <w:rFonts w:ascii="Times New Roman" w:hAnsi="Times New Roman"/>
        </w:rPr>
        <w:t>Problemi dell’epoca di Francesco Giuseppe</w:t>
      </w:r>
      <w:r>
        <w:rPr>
          <w:rFonts w:ascii="Arial Narrow" w:hAnsi="Arial Narrow"/>
        </w:rPr>
        <w:t>]</w:t>
      </w:r>
      <w:r w:rsidRPr="003614C4">
        <w:rPr>
          <w:rFonts w:ascii="Times New Roman" w:hAnsi="Times New Roman"/>
        </w:rPr>
        <w:t xml:space="preserve">, </w:t>
      </w:r>
      <w:r w:rsidRPr="00EB3DF6">
        <w:rPr>
          <w:rFonts w:ascii="Times New Roman" w:hAnsi="Times New Roman"/>
        </w:rPr>
        <w:t>Schriftenreihe des Österreichischen Ost- und Südosteuropa-Instituts 1</w:t>
      </w:r>
      <w:r>
        <w:rPr>
          <w:rFonts w:ascii="Times New Roman" w:hAnsi="Times New Roman"/>
        </w:rPr>
        <w:t xml:space="preserve"> </w:t>
      </w:r>
      <w:r>
        <w:rPr>
          <w:rFonts w:ascii="Arial Narrow" w:hAnsi="Arial Narrow"/>
        </w:rPr>
        <w:t>[</w:t>
      </w:r>
      <w:r>
        <w:rPr>
          <w:rFonts w:ascii="Times New Roman" w:hAnsi="Times New Roman"/>
        </w:rPr>
        <w:t>Pubblicazioni dell’Istituto austriaco per l’Europa orientale e meridionale</w:t>
      </w:r>
      <w:r>
        <w:rPr>
          <w:rFonts w:ascii="Arial Narrow" w:hAnsi="Arial Narrow"/>
        </w:rPr>
        <w:t>]</w:t>
      </w:r>
      <w:r w:rsidRPr="00EB3DF6">
        <w:rPr>
          <w:rFonts w:ascii="Times New Roman" w:hAnsi="Times New Roman"/>
        </w:rPr>
        <w:t>, Wien</w:t>
      </w:r>
      <w:r w:rsidRPr="003614C4">
        <w:rPr>
          <w:rFonts w:ascii="Times New Roman" w:hAnsi="Times New Roman"/>
        </w:rPr>
        <w:t xml:space="preserve"> 1967, pp. 79-83, in particolare p. 88. </w:t>
      </w:r>
    </w:p>
  </w:footnote>
  <w:footnote w:id="63">
    <w:p w14:paraId="5F11F8FD" w14:textId="129ED862" w:rsidR="00591B49" w:rsidRPr="00020882" w:rsidRDefault="00591B49" w:rsidP="00020882">
      <w:pPr>
        <w:pStyle w:val="Testonotaapidipagina"/>
        <w:ind w:right="567"/>
        <w:jc w:val="both"/>
        <w:rPr>
          <w:rFonts w:ascii="Times New Roman" w:hAnsi="Times New Roman"/>
          <w:lang w:val="en-US"/>
        </w:rPr>
      </w:pPr>
      <w:r w:rsidRPr="00020882">
        <w:rPr>
          <w:rStyle w:val="Rimandonotaapidipagina"/>
          <w:rFonts w:ascii="Times New Roman" w:hAnsi="Times New Roman"/>
        </w:rPr>
        <w:footnoteRef/>
      </w:r>
      <w:r w:rsidRPr="00020882">
        <w:rPr>
          <w:rFonts w:ascii="Times New Roman" w:hAnsi="Times New Roman"/>
          <w:lang w:val="en-US"/>
        </w:rPr>
        <w:t xml:space="preserve"> John Deak, </w:t>
      </w:r>
      <w:r w:rsidRPr="00020882">
        <w:rPr>
          <w:rFonts w:ascii="Times New Roman" w:hAnsi="Times New Roman"/>
          <w:i/>
          <w:lang w:val="en-US"/>
        </w:rPr>
        <w:t xml:space="preserve">Forging a Multinational State. </w:t>
      </w:r>
      <w:r>
        <w:rPr>
          <w:rFonts w:ascii="Times New Roman" w:hAnsi="Times New Roman"/>
          <w:i/>
          <w:lang w:val="en-US"/>
        </w:rPr>
        <w:t>State M</w:t>
      </w:r>
      <w:r w:rsidRPr="00020882">
        <w:rPr>
          <w:rFonts w:ascii="Times New Roman" w:hAnsi="Times New Roman"/>
          <w:i/>
          <w:lang w:val="en-US"/>
        </w:rPr>
        <w:t>aking in Imperial Austria from the Enlightenment to the First World War</w:t>
      </w:r>
      <w:r w:rsidRPr="00020882">
        <w:rPr>
          <w:rFonts w:ascii="Times New Roman" w:hAnsi="Times New Roman"/>
          <w:lang w:val="en-US"/>
        </w:rPr>
        <w:t>, Stanford University Press, Stanford (California) 2015</w:t>
      </w:r>
      <w:r>
        <w:rPr>
          <w:rFonts w:ascii="Times New Roman" w:hAnsi="Times New Roman"/>
          <w:lang w:val="en-US"/>
        </w:rPr>
        <w:t>, cap.V</w:t>
      </w:r>
      <w:r w:rsidRPr="00020882">
        <w:rPr>
          <w:rFonts w:ascii="Times New Roman" w:hAnsi="Times New Roman"/>
          <w:lang w:val="en-US"/>
        </w:rPr>
        <w:t xml:space="preserve">, </w:t>
      </w:r>
      <w:r w:rsidRPr="00020882">
        <w:rPr>
          <w:rFonts w:ascii="Times New Roman" w:hAnsi="Times New Roman"/>
          <w:i/>
          <w:lang w:val="en-US"/>
        </w:rPr>
        <w:t>The Years of Procedure 1868-1900</w:t>
      </w:r>
      <w:r w:rsidRPr="00020882">
        <w:rPr>
          <w:rFonts w:ascii="Times New Roman" w:hAnsi="Times New Roman"/>
          <w:lang w:val="en-US"/>
        </w:rPr>
        <w:t xml:space="preserve">, pp. 177-179. </w:t>
      </w:r>
    </w:p>
  </w:footnote>
  <w:footnote w:id="64">
    <w:p w14:paraId="7C25263C" w14:textId="65FFA978" w:rsidR="00591B49" w:rsidRPr="00257950" w:rsidRDefault="00591B49" w:rsidP="00257950">
      <w:pPr>
        <w:pStyle w:val="Testonotaapidipagina"/>
        <w:ind w:right="567"/>
        <w:jc w:val="both"/>
        <w:rPr>
          <w:rStyle w:val="Rimandonotaapidipagina"/>
          <w:lang w:val="en-US"/>
        </w:rPr>
      </w:pPr>
      <w:r>
        <w:rPr>
          <w:rStyle w:val="Rimandonotaapidipagina"/>
        </w:rPr>
        <w:footnoteRef/>
      </w:r>
      <w:r>
        <w:rPr>
          <w:lang w:val="en-US"/>
        </w:rPr>
        <w:t xml:space="preserve"> </w:t>
      </w:r>
      <w:r w:rsidRPr="00257950">
        <w:rPr>
          <w:rFonts w:ascii="Times New Roman" w:hAnsi="Times New Roman"/>
          <w:lang w:val="en-US"/>
        </w:rPr>
        <w:t xml:space="preserve">In proposito Piotr Wandycz, </w:t>
      </w:r>
      <w:r w:rsidRPr="00257950">
        <w:rPr>
          <w:rFonts w:ascii="Times New Roman" w:hAnsi="Times New Roman"/>
          <w:i/>
          <w:lang w:val="en-US"/>
        </w:rPr>
        <w:t>The Poles in the Habsburg Monarchy</w:t>
      </w:r>
      <w:r w:rsidRPr="00257950">
        <w:rPr>
          <w:rFonts w:ascii="Times New Roman" w:hAnsi="Times New Roman"/>
          <w:lang w:val="en-US"/>
        </w:rPr>
        <w:t>, in</w:t>
      </w:r>
      <w:r>
        <w:rPr>
          <w:rFonts w:ascii="Times New Roman" w:hAnsi="Times New Roman"/>
          <w:lang w:val="en-US"/>
        </w:rPr>
        <w:t xml:space="preserve"> Andrei S. Markovits, Frank E. Sysyn, </w:t>
      </w:r>
      <w:r w:rsidRPr="00257950">
        <w:rPr>
          <w:rFonts w:ascii="Times New Roman" w:hAnsi="Times New Roman"/>
          <w:i/>
          <w:lang w:val="en-US"/>
        </w:rPr>
        <w:t>Nationbuilding and the Politics of Nationalism. Essays on Austrian Galicia</w:t>
      </w:r>
      <w:r>
        <w:rPr>
          <w:rFonts w:ascii="Times New Roman" w:hAnsi="Times New Roman"/>
          <w:lang w:val="en-US"/>
        </w:rPr>
        <w:t xml:space="preserve">, Harvard University Press, New York 1982, pp. 68-93. </w:t>
      </w:r>
      <w:r w:rsidRPr="00257950">
        <w:rPr>
          <w:rFonts w:ascii="Times New Roman" w:hAnsi="Times New Roman"/>
          <w:lang w:val="en-US"/>
        </w:rPr>
        <w:t xml:space="preserve"> </w:t>
      </w:r>
      <w:r w:rsidRPr="00257950">
        <w:rPr>
          <w:rStyle w:val="Rimandonotaapidipagina"/>
          <w:lang w:val="en-US"/>
        </w:rPr>
        <w:t xml:space="preserve"> </w:t>
      </w:r>
    </w:p>
  </w:footnote>
  <w:footnote w:id="65">
    <w:p w14:paraId="4402B649" w14:textId="0DE5A710" w:rsidR="00591B49" w:rsidRPr="006B27DE" w:rsidRDefault="00591B49" w:rsidP="00892568">
      <w:pPr>
        <w:pStyle w:val="Testonotaapidipagina"/>
        <w:ind w:right="567"/>
        <w:jc w:val="both"/>
        <w:rPr>
          <w:rStyle w:val="Rimandonotaapidipagina"/>
          <w:rFonts w:ascii="Times New Roman" w:hAnsi="Times New Roman"/>
        </w:rPr>
      </w:pPr>
      <w:r>
        <w:rPr>
          <w:rStyle w:val="Rimandonotaapidipagina"/>
        </w:rPr>
        <w:footnoteRef/>
      </w:r>
      <w:r w:rsidRPr="00CF4151">
        <w:t xml:space="preserve"> </w:t>
      </w:r>
      <w:r w:rsidRPr="006B27DE">
        <w:rPr>
          <w:rFonts w:ascii="Times New Roman" w:hAnsi="Times New Roman"/>
        </w:rPr>
        <w:t>Altri polacchi furono alla testa del Ministero comune delle Finanze: Leon von Biliński,</w:t>
      </w:r>
      <w:r w:rsidR="006B27DE" w:rsidRPr="006B27DE">
        <w:rPr>
          <w:rFonts w:ascii="Times New Roman" w:hAnsi="Times New Roman"/>
        </w:rPr>
        <w:t xml:space="preserve"> Julian von Dunajewski</w:t>
      </w:r>
      <w:r w:rsidR="006B27DE">
        <w:rPr>
          <w:rFonts w:ascii="Times New Roman" w:hAnsi="Times New Roman"/>
        </w:rPr>
        <w:t>,</w:t>
      </w:r>
      <w:r w:rsidRPr="006B27DE">
        <w:rPr>
          <w:rFonts w:ascii="Times New Roman" w:hAnsi="Times New Roman"/>
        </w:rPr>
        <w:t xml:space="preserve"> Witold von Korytowski, Wacław von Zaleski; alla testa del Ministero comune degli Esteri salì invece il conte Agenor Gołuchowski. </w:t>
      </w:r>
      <w:r w:rsidRPr="002E59EE">
        <w:rPr>
          <w:rFonts w:ascii="Times New Roman" w:hAnsi="Times New Roman"/>
        </w:rPr>
        <w:t xml:space="preserve">Henryk Batowski, </w:t>
      </w:r>
      <w:r w:rsidRPr="002E59EE">
        <w:rPr>
          <w:rFonts w:ascii="Times New Roman" w:hAnsi="Times New Roman"/>
          <w:i/>
        </w:rPr>
        <w:t>Die Polen</w:t>
      </w:r>
      <w:r w:rsidRPr="002E59EE">
        <w:rPr>
          <w:rFonts w:ascii="Times New Roman" w:hAnsi="Times New Roman"/>
        </w:rPr>
        <w:t xml:space="preserve"> [I polacchi], in Adam Wandruszka, Peter Urbanitsch, </w:t>
      </w:r>
      <w:r w:rsidRPr="002E59EE">
        <w:rPr>
          <w:rFonts w:ascii="Times New Roman" w:hAnsi="Times New Roman"/>
          <w:i/>
        </w:rPr>
        <w:t>Die Habsburgermonarchie</w:t>
      </w:r>
      <w:r w:rsidRPr="002E59EE">
        <w:rPr>
          <w:rFonts w:ascii="Times New Roman" w:hAnsi="Times New Roman"/>
        </w:rPr>
        <w:t xml:space="preserve">, Band/Vol. </w:t>
      </w:r>
      <w:r w:rsidRPr="006B27DE">
        <w:rPr>
          <w:rFonts w:ascii="Times New Roman" w:hAnsi="Times New Roman"/>
        </w:rPr>
        <w:t xml:space="preserve">III, 1.Teilband, </w:t>
      </w:r>
      <w:r w:rsidRPr="006B27DE">
        <w:rPr>
          <w:rFonts w:ascii="Times New Roman" w:hAnsi="Times New Roman"/>
          <w:i/>
        </w:rPr>
        <w:t>Die Völker des Reiches</w:t>
      </w:r>
      <w:r w:rsidRPr="006B27DE">
        <w:rPr>
          <w:rFonts w:ascii="Times New Roman" w:hAnsi="Times New Roman"/>
        </w:rPr>
        <w:t xml:space="preserve"> [I popoli dell’impero],</w:t>
      </w:r>
      <w:r w:rsidR="006B27DE" w:rsidRPr="006B27DE">
        <w:rPr>
          <w:rFonts w:ascii="Times New Roman" w:hAnsi="Times New Roman"/>
        </w:rPr>
        <w:t xml:space="preserve"> Verlag der Österreichischer Akademie der Wissenschaften [Edizione dell’Accademia austriaca delle Scienze, Wien 1980;</w:t>
      </w:r>
      <w:r w:rsidRPr="006B27DE">
        <w:rPr>
          <w:rFonts w:ascii="Times New Roman" w:hAnsi="Times New Roman"/>
        </w:rPr>
        <w:t xml:space="preserve"> </w:t>
      </w:r>
      <w:r w:rsidR="000B1D98" w:rsidRPr="006B27DE">
        <w:rPr>
          <w:rFonts w:ascii="Times New Roman" w:hAnsi="Times New Roman"/>
        </w:rPr>
        <w:t xml:space="preserve">§ 3. </w:t>
      </w:r>
      <w:r w:rsidR="000B1D98" w:rsidRPr="006B27DE">
        <w:rPr>
          <w:rFonts w:ascii="Times New Roman" w:hAnsi="Times New Roman"/>
          <w:i/>
        </w:rPr>
        <w:t>Die Rolle der Polen innerhalb der Monarchie</w:t>
      </w:r>
      <w:r w:rsidR="000B1D98" w:rsidRPr="006B27DE">
        <w:rPr>
          <w:rFonts w:ascii="Times New Roman" w:hAnsi="Times New Roman"/>
        </w:rPr>
        <w:t xml:space="preserve"> [Il ruolo dei polacchi nel contesto della Monarchia], pp. 529-543, nello specifico p.532.</w:t>
      </w:r>
      <w:r w:rsidRPr="006B27DE">
        <w:rPr>
          <w:rStyle w:val="Rimandonotaapidipagina"/>
          <w:rFonts w:ascii="Times New Roman" w:hAnsi="Times New Roman"/>
        </w:rPr>
        <w:t xml:space="preserve"> </w:t>
      </w:r>
    </w:p>
  </w:footnote>
  <w:footnote w:id="66">
    <w:p w14:paraId="05B5EA88" w14:textId="742B4ACF" w:rsidR="00591B49" w:rsidRPr="00F8097F" w:rsidRDefault="00591B49" w:rsidP="002D7191">
      <w:pPr>
        <w:pStyle w:val="Testonotaapidipagina"/>
        <w:ind w:right="567"/>
        <w:jc w:val="both"/>
        <w:rPr>
          <w:rFonts w:ascii="Times New Roman" w:hAnsi="Times New Roman"/>
          <w:lang w:val="en-US"/>
        </w:rPr>
      </w:pPr>
      <w:r w:rsidRPr="00F8097F">
        <w:rPr>
          <w:rStyle w:val="Rimandonotaapidipagina"/>
          <w:rFonts w:ascii="Times New Roman" w:hAnsi="Times New Roman"/>
        </w:rPr>
        <w:footnoteRef/>
      </w:r>
      <w:r w:rsidRPr="00F8097F">
        <w:rPr>
          <w:rFonts w:ascii="Times New Roman" w:hAnsi="Times New Roman"/>
          <w:lang w:val="en-US"/>
        </w:rPr>
        <w:t xml:space="preserve"> Eagle Glassheim, </w:t>
      </w:r>
      <w:r w:rsidRPr="00F8097F">
        <w:rPr>
          <w:rFonts w:ascii="Times New Roman" w:hAnsi="Times New Roman"/>
          <w:i/>
          <w:lang w:val="en-US"/>
        </w:rPr>
        <w:t>Between Empire and Nation. The Bohemian Nobility, 1880-1918</w:t>
      </w:r>
      <w:r w:rsidRPr="00F8097F">
        <w:rPr>
          <w:rFonts w:ascii="Times New Roman" w:hAnsi="Times New Roman"/>
          <w:lang w:val="en-US"/>
        </w:rPr>
        <w:t xml:space="preserve">, in Pieter M. Judson, Marsha L. Rozenblit (a cura di), </w:t>
      </w:r>
      <w:r w:rsidRPr="00F8097F">
        <w:rPr>
          <w:rFonts w:ascii="Times New Roman" w:hAnsi="Times New Roman"/>
          <w:i/>
          <w:lang w:val="en-US"/>
        </w:rPr>
        <w:t>Constructing Nationalities in East Central Europe</w:t>
      </w:r>
      <w:r w:rsidRPr="00F8097F">
        <w:rPr>
          <w:rFonts w:ascii="Times New Roman" w:hAnsi="Times New Roman"/>
          <w:lang w:val="en-US"/>
        </w:rPr>
        <w:t>, Berghahn Books, NewYork-Oxford 2005,  pp. 61-88.</w:t>
      </w:r>
    </w:p>
  </w:footnote>
  <w:footnote w:id="67">
    <w:p w14:paraId="62BC8C81" w14:textId="7415B0C9" w:rsidR="00591B49" w:rsidRPr="007201B0" w:rsidRDefault="00591B49" w:rsidP="007201B0">
      <w:pPr>
        <w:pStyle w:val="Testonotaapidipagina"/>
        <w:ind w:right="567"/>
        <w:jc w:val="both"/>
        <w:rPr>
          <w:rFonts w:ascii="Times New Roman" w:hAnsi="Times New Roman"/>
          <w:lang w:val="en-US"/>
        </w:rPr>
      </w:pPr>
      <w:r>
        <w:rPr>
          <w:rStyle w:val="Rimandonotaapidipagina"/>
        </w:rPr>
        <w:footnoteRef/>
      </w:r>
      <w:r w:rsidRPr="007201B0">
        <w:rPr>
          <w:lang w:val="en-US"/>
        </w:rPr>
        <w:t xml:space="preserve"> </w:t>
      </w:r>
      <w:r w:rsidRPr="007201B0">
        <w:rPr>
          <w:rFonts w:ascii="Times New Roman" w:hAnsi="Times New Roman"/>
          <w:lang w:val="en-US"/>
        </w:rPr>
        <w:t xml:space="preserve">Suzanne G. Kornish, </w:t>
      </w:r>
      <w:r w:rsidRPr="007201B0">
        <w:rPr>
          <w:rFonts w:ascii="Times New Roman" w:hAnsi="Times New Roman"/>
          <w:i/>
          <w:lang w:val="en-US"/>
        </w:rPr>
        <w:t>Constitutional Aspects of the struggle between Germans and Czechs in the Austro-Hungarian Monarchy</w:t>
      </w:r>
      <w:r w:rsidRPr="007201B0">
        <w:rPr>
          <w:rFonts w:ascii="Times New Roman" w:hAnsi="Times New Roman"/>
          <w:lang w:val="en-US"/>
        </w:rPr>
        <w:t>, in «Journal of Modern History», Vol. XXI (1949), pp. 231-261.</w:t>
      </w:r>
    </w:p>
  </w:footnote>
  <w:footnote w:id="68">
    <w:p w14:paraId="29ED68BB" w14:textId="1AA070C3" w:rsidR="00591B49" w:rsidRPr="002621F3" w:rsidRDefault="00591B49" w:rsidP="002621F3">
      <w:pPr>
        <w:pStyle w:val="Testonotaapidipagina"/>
        <w:jc w:val="both"/>
        <w:rPr>
          <w:lang w:val="en-US"/>
        </w:rPr>
      </w:pPr>
      <w:r>
        <w:rPr>
          <w:rStyle w:val="Rimandonotaapidipagina"/>
        </w:rPr>
        <w:footnoteRef/>
      </w:r>
      <w:r w:rsidRPr="002621F3">
        <w:rPr>
          <w:lang w:val="en-US"/>
        </w:rPr>
        <w:t xml:space="preserve"> </w:t>
      </w:r>
      <w:r w:rsidRPr="002621F3">
        <w:rPr>
          <w:rFonts w:ascii="Times New Roman" w:hAnsi="Times New Roman"/>
          <w:lang w:val="en-US"/>
        </w:rPr>
        <w:t>Ivi, p.239.</w:t>
      </w:r>
    </w:p>
  </w:footnote>
  <w:footnote w:id="69">
    <w:p w14:paraId="1EADC13B" w14:textId="6D3689DD" w:rsidR="00591B49" w:rsidRPr="00D60602" w:rsidRDefault="00591B49" w:rsidP="00D60602">
      <w:pPr>
        <w:pStyle w:val="Testonotaapidipagina"/>
        <w:ind w:right="567"/>
        <w:jc w:val="both"/>
        <w:rPr>
          <w:lang w:val="en-US"/>
        </w:rPr>
      </w:pPr>
      <w:r>
        <w:rPr>
          <w:rStyle w:val="Rimandonotaapidipagina"/>
        </w:rPr>
        <w:footnoteRef/>
      </w:r>
      <w:r w:rsidRPr="00D60602">
        <w:rPr>
          <w:lang w:val="en-US"/>
        </w:rPr>
        <w:t xml:space="preserve"> </w:t>
      </w:r>
      <w:r w:rsidRPr="00D60602">
        <w:rPr>
          <w:rFonts w:ascii="Times New Roman" w:hAnsi="Times New Roman"/>
          <w:lang w:val="en-US"/>
        </w:rPr>
        <w:t>V</w:t>
      </w:r>
      <w:r>
        <w:rPr>
          <w:rFonts w:ascii="Times New Roman" w:hAnsi="Times New Roman"/>
          <w:lang w:val="en-US"/>
        </w:rPr>
        <w:t>ictor</w:t>
      </w:r>
      <w:r w:rsidRPr="00D60602">
        <w:rPr>
          <w:rFonts w:ascii="Times New Roman" w:hAnsi="Times New Roman"/>
          <w:lang w:val="en-US"/>
        </w:rPr>
        <w:t>.S</w:t>
      </w:r>
      <w:r>
        <w:rPr>
          <w:rFonts w:ascii="Times New Roman" w:hAnsi="Times New Roman"/>
          <w:lang w:val="en-US"/>
        </w:rPr>
        <w:t>.</w:t>
      </w:r>
      <w:r w:rsidRPr="00D60602">
        <w:rPr>
          <w:rFonts w:ascii="Times New Roman" w:hAnsi="Times New Roman"/>
          <w:lang w:val="en-US"/>
        </w:rPr>
        <w:t xml:space="preserve"> Mamatey, </w:t>
      </w:r>
      <w:r w:rsidRPr="00D60602">
        <w:rPr>
          <w:rFonts w:ascii="Times New Roman" w:hAnsi="Times New Roman"/>
          <w:i/>
          <w:lang w:val="en-US"/>
        </w:rPr>
        <w:t>The establishment of the Republic</w:t>
      </w:r>
      <w:r w:rsidRPr="00D60602">
        <w:rPr>
          <w:rFonts w:ascii="Times New Roman" w:hAnsi="Times New Roman"/>
          <w:lang w:val="en-US"/>
        </w:rPr>
        <w:t>, in V</w:t>
      </w:r>
      <w:r>
        <w:rPr>
          <w:rFonts w:ascii="Times New Roman" w:hAnsi="Times New Roman"/>
          <w:lang w:val="en-US"/>
        </w:rPr>
        <w:t>ictor</w:t>
      </w:r>
      <w:r w:rsidRPr="00D60602">
        <w:rPr>
          <w:rFonts w:ascii="Times New Roman" w:hAnsi="Times New Roman"/>
          <w:lang w:val="en-US"/>
        </w:rPr>
        <w:t xml:space="preserve">. S. Mamatey, </w:t>
      </w:r>
      <w:r w:rsidRPr="00A62950">
        <w:rPr>
          <w:rFonts w:ascii="Times New Roman" w:hAnsi="Times New Roman"/>
          <w:lang w:val="en-US"/>
        </w:rPr>
        <w:t>Radomír Luža</w:t>
      </w:r>
      <w:r w:rsidRPr="00D60602">
        <w:rPr>
          <w:rFonts w:ascii="Times New Roman" w:hAnsi="Times New Roman"/>
          <w:lang w:val="en-US"/>
        </w:rPr>
        <w:t xml:space="preserve"> (a cura di), </w:t>
      </w:r>
      <w:r w:rsidRPr="00D60602">
        <w:rPr>
          <w:rFonts w:ascii="Times New Roman" w:hAnsi="Times New Roman"/>
          <w:i/>
          <w:lang w:val="en-US"/>
        </w:rPr>
        <w:t>A History of the Czechoslovak  Republic, 1918-1948</w:t>
      </w:r>
      <w:r w:rsidRPr="00D60602">
        <w:rPr>
          <w:rFonts w:ascii="Times New Roman" w:hAnsi="Times New Roman"/>
          <w:lang w:val="en-US"/>
        </w:rPr>
        <w:t>, Princeton</w:t>
      </w:r>
      <w:r>
        <w:rPr>
          <w:rFonts w:ascii="Times New Roman" w:hAnsi="Times New Roman"/>
          <w:lang w:val="en-US"/>
        </w:rPr>
        <w:t xml:space="preserve"> University Press, Princeton</w:t>
      </w:r>
      <w:r w:rsidRPr="00D60602">
        <w:rPr>
          <w:rFonts w:ascii="Times New Roman" w:hAnsi="Times New Roman"/>
          <w:lang w:val="en-US"/>
        </w:rPr>
        <w:t xml:space="preserve"> 1973, pp. 3-38, in particolare p. 7.</w:t>
      </w:r>
      <w:r>
        <w:rPr>
          <w:lang w:val="en-US"/>
        </w:rPr>
        <w:t xml:space="preserve"> </w:t>
      </w:r>
      <w:r w:rsidRPr="00D60602">
        <w:rPr>
          <w:lang w:val="en-US"/>
        </w:rPr>
        <w:t xml:space="preserve"> </w:t>
      </w:r>
    </w:p>
  </w:footnote>
  <w:footnote w:id="70">
    <w:p w14:paraId="2E5D0117" w14:textId="6335C7D0" w:rsidR="00591B49" w:rsidRPr="00BE2468" w:rsidRDefault="00591B49" w:rsidP="006D6265">
      <w:pPr>
        <w:pStyle w:val="Testonotaapidipagina"/>
        <w:ind w:right="567"/>
        <w:jc w:val="both"/>
        <w:rPr>
          <w:rFonts w:ascii="Times New Roman" w:hAnsi="Times New Roman"/>
        </w:rPr>
      </w:pPr>
      <w:r w:rsidRPr="00C947BB">
        <w:rPr>
          <w:rStyle w:val="Rimandonotaapidipagina"/>
          <w:rFonts w:ascii="Times New Roman" w:hAnsi="Times New Roman"/>
        </w:rPr>
        <w:footnoteRef/>
      </w:r>
      <w:r w:rsidRPr="00C947BB">
        <w:rPr>
          <w:rFonts w:ascii="Times New Roman" w:hAnsi="Times New Roman"/>
        </w:rPr>
        <w:t xml:space="preserve"> </w:t>
      </w:r>
      <w:r>
        <w:rPr>
          <w:rFonts w:ascii="Times New Roman" w:hAnsi="Times New Roman"/>
        </w:rPr>
        <w:t>Per quanto concerne lo sviluppo economico della m</w:t>
      </w:r>
      <w:r w:rsidRPr="00C947BB">
        <w:rPr>
          <w:rFonts w:ascii="Times New Roman" w:hAnsi="Times New Roman"/>
        </w:rPr>
        <w:t>onarchia asburgica</w:t>
      </w:r>
      <w:r>
        <w:rPr>
          <w:rFonts w:ascii="Times New Roman" w:hAnsi="Times New Roman"/>
        </w:rPr>
        <w:t>, vale la</w:t>
      </w:r>
      <w:r w:rsidRPr="00C947BB">
        <w:rPr>
          <w:rFonts w:ascii="Times New Roman" w:hAnsi="Times New Roman"/>
        </w:rPr>
        <w:t xml:space="preserve"> monografia di David F. Good, </w:t>
      </w:r>
      <w:r w:rsidRPr="00C947BB">
        <w:rPr>
          <w:rFonts w:ascii="Times New Roman" w:hAnsi="Times New Roman"/>
          <w:i/>
        </w:rPr>
        <w:t>The Economic Rise of the Habsburg Empire</w:t>
      </w:r>
      <w:r>
        <w:rPr>
          <w:rFonts w:ascii="Times New Roman" w:hAnsi="Times New Roman"/>
          <w:i/>
        </w:rPr>
        <w:t>,</w:t>
      </w:r>
      <w:r w:rsidRPr="00C947BB">
        <w:rPr>
          <w:rFonts w:ascii="Times New Roman" w:hAnsi="Times New Roman"/>
          <w:i/>
        </w:rPr>
        <w:t xml:space="preserve"> 1751-1914</w:t>
      </w:r>
      <w:r w:rsidRPr="00C947BB">
        <w:rPr>
          <w:rFonts w:ascii="Times New Roman" w:hAnsi="Times New Roman"/>
        </w:rPr>
        <w:t>, University of California Press, B</w:t>
      </w:r>
      <w:r>
        <w:rPr>
          <w:rFonts w:ascii="Times New Roman" w:hAnsi="Times New Roman"/>
        </w:rPr>
        <w:t xml:space="preserve">erkeley-Los Angeles-London 1984. L’autore appoggia la teoria di un’integrazione di mercato della Duplice Monarchia sul piano europeo, che avrebbe grandemente favorito l’Ungheria. </w:t>
      </w:r>
      <w:r w:rsidRPr="00BE2468">
        <w:rPr>
          <w:rFonts w:ascii="Times New Roman" w:hAnsi="Times New Roman"/>
          <w:lang w:val="en-US"/>
        </w:rPr>
        <w:t>L’opinione</w:t>
      </w:r>
      <w:r>
        <w:rPr>
          <w:rFonts w:ascii="Times New Roman" w:hAnsi="Times New Roman"/>
          <w:lang w:val="en-US"/>
        </w:rPr>
        <w:t xml:space="preserve"> è</w:t>
      </w:r>
      <w:r w:rsidRPr="00BE2468">
        <w:rPr>
          <w:rFonts w:ascii="Times New Roman" w:hAnsi="Times New Roman"/>
          <w:lang w:val="en-US"/>
        </w:rPr>
        <w:t xml:space="preserve"> condivisa da John Komlós (</w:t>
      </w:r>
      <w:r w:rsidRPr="00BE2468">
        <w:rPr>
          <w:rFonts w:ascii="Times New Roman" w:hAnsi="Times New Roman"/>
          <w:i/>
          <w:lang w:val="en-US"/>
        </w:rPr>
        <w:t>The Habsburg Monarchy as a Custom Union: Economic Development in Austria-Hungary in the Nineteenth Century,</w:t>
      </w:r>
      <w:r w:rsidRPr="00BE2468">
        <w:rPr>
          <w:rFonts w:ascii="Times New Roman" w:hAnsi="Times New Roman"/>
          <w:lang w:val="en-US"/>
        </w:rPr>
        <w:t xml:space="preserve"> Princeton University Press, Princeton-New York 1983)</w:t>
      </w:r>
      <w:r>
        <w:rPr>
          <w:rFonts w:ascii="Times New Roman" w:hAnsi="Times New Roman"/>
          <w:lang w:val="en-US"/>
        </w:rPr>
        <w:t xml:space="preserve">. </w:t>
      </w:r>
      <w:r w:rsidRPr="00BE2468">
        <w:rPr>
          <w:rFonts w:ascii="Times New Roman" w:hAnsi="Times New Roman"/>
        </w:rPr>
        <w:t>Péter Hanák (</w:t>
      </w:r>
      <w:r w:rsidRPr="00BE2468">
        <w:rPr>
          <w:rFonts w:ascii="Times New Roman" w:hAnsi="Times New Roman"/>
          <w:i/>
        </w:rPr>
        <w:t>Hungary’</w:t>
      </w:r>
      <w:r>
        <w:rPr>
          <w:rFonts w:ascii="Times New Roman" w:hAnsi="Times New Roman"/>
          <w:i/>
        </w:rPr>
        <w:t>s c</w:t>
      </w:r>
      <w:r w:rsidRPr="00BE2468">
        <w:rPr>
          <w:rFonts w:ascii="Times New Roman" w:hAnsi="Times New Roman"/>
          <w:i/>
        </w:rPr>
        <w:t>ontribution to the Monarchy</w:t>
      </w:r>
      <w:r w:rsidRPr="00BE2468">
        <w:rPr>
          <w:rFonts w:ascii="Times New Roman" w:hAnsi="Times New Roman"/>
        </w:rPr>
        <w:t xml:space="preserve">, in György Ránki (a cura di), </w:t>
      </w:r>
      <w:r w:rsidRPr="00BE2468">
        <w:rPr>
          <w:rFonts w:ascii="Times New Roman" w:hAnsi="Times New Roman"/>
          <w:i/>
        </w:rPr>
        <w:t>Hungarian History – World History</w:t>
      </w:r>
      <w:r w:rsidRPr="00BE2468">
        <w:rPr>
          <w:rFonts w:ascii="Times New Roman" w:hAnsi="Times New Roman"/>
        </w:rPr>
        <w:t xml:space="preserve">, Indiana University Studies on Hungary, Budapest 1984, pp. 165-180), ritiene che il compromesso </w:t>
      </w:r>
      <w:r>
        <w:rPr>
          <w:rFonts w:ascii="Times New Roman" w:hAnsi="Times New Roman"/>
        </w:rPr>
        <w:t>avesse arrecato</w:t>
      </w:r>
      <w:r w:rsidRPr="00BE2468">
        <w:rPr>
          <w:rFonts w:ascii="Times New Roman" w:hAnsi="Times New Roman"/>
        </w:rPr>
        <w:t xml:space="preserve"> vantaggi reciproci fra economie complementari, ma che fosse stata l’Austria a guadagnarne maggiormente.</w:t>
      </w:r>
      <w:r>
        <w:rPr>
          <w:rFonts w:ascii="Times New Roman" w:hAnsi="Times New Roman"/>
        </w:rPr>
        <w:t xml:space="preserve"> Scott M. Eddie (</w:t>
      </w:r>
      <w:r w:rsidRPr="00C54CF6">
        <w:rPr>
          <w:rFonts w:ascii="Times New Roman" w:hAnsi="Times New Roman"/>
          <w:i/>
        </w:rPr>
        <w:t>On Hungary’</w:t>
      </w:r>
      <w:r>
        <w:rPr>
          <w:rFonts w:ascii="Times New Roman" w:hAnsi="Times New Roman"/>
          <w:i/>
        </w:rPr>
        <w:t>s economic c</w:t>
      </w:r>
      <w:r w:rsidRPr="00C54CF6">
        <w:rPr>
          <w:rFonts w:ascii="Times New Roman" w:hAnsi="Times New Roman"/>
          <w:i/>
        </w:rPr>
        <w:t>ontribution to the Monarchy</w:t>
      </w:r>
      <w:r>
        <w:rPr>
          <w:rFonts w:ascii="Times New Roman" w:hAnsi="Times New Roman"/>
        </w:rPr>
        <w:t>, ivi, pp. 191-207) invece sottolinea il valore delle esportazioni ungheresi all’estero, quale risorsa per finanziare le importazioni in Austria di materie prime, soprattutto tessili, per le sue attività industriali.</w:t>
      </w:r>
    </w:p>
  </w:footnote>
  <w:footnote w:id="71">
    <w:p w14:paraId="5B269867" w14:textId="77777777" w:rsidR="00591B49" w:rsidRPr="00C947BB" w:rsidRDefault="00591B49" w:rsidP="00C201B7">
      <w:pPr>
        <w:pStyle w:val="Testonotaapidipagina"/>
        <w:ind w:right="567"/>
        <w:jc w:val="both"/>
        <w:rPr>
          <w:rFonts w:ascii="Times New Roman" w:hAnsi="Times New Roman"/>
        </w:rPr>
      </w:pPr>
      <w:r>
        <w:rPr>
          <w:rStyle w:val="Rimandonotaapidipagina"/>
        </w:rPr>
        <w:footnoteRef/>
      </w:r>
      <w:r>
        <w:t xml:space="preserve"> </w:t>
      </w:r>
      <w:r w:rsidRPr="00C947BB">
        <w:rPr>
          <w:rFonts w:ascii="Times New Roman" w:hAnsi="Times New Roman"/>
        </w:rPr>
        <w:t>Un’acuta, brillante riflessione sulle fasi di realizzazione della rete ferroviaria ungherese, sulle sue caratteristiche e sul des</w:t>
      </w:r>
      <w:r>
        <w:rPr>
          <w:rFonts w:ascii="Times New Roman" w:hAnsi="Times New Roman"/>
        </w:rPr>
        <w:t>tino dopo la dissoluzione della Grande Ungheria dualista</w:t>
      </w:r>
      <w:r w:rsidRPr="00FE1186">
        <w:rPr>
          <w:rFonts w:ascii="Times New Roman" w:hAnsi="Times New Roman"/>
        </w:rPr>
        <w:t>,</w:t>
      </w:r>
      <w:r>
        <w:rPr>
          <w:rFonts w:ascii="Times New Roman" w:hAnsi="Times New Roman"/>
        </w:rPr>
        <w:t xml:space="preserve"> è contenuta ne</w:t>
      </w:r>
      <w:r w:rsidRPr="00C947BB">
        <w:rPr>
          <w:rFonts w:ascii="Times New Roman" w:hAnsi="Times New Roman"/>
        </w:rPr>
        <w:t>l saggio di Alessandro Gallo</w:t>
      </w:r>
      <w:r w:rsidRPr="00561C8E">
        <w:rPr>
          <w:rFonts w:ascii="Times New Roman" w:hAnsi="Times New Roman"/>
        </w:rPr>
        <w:t>,</w:t>
      </w:r>
      <w:r w:rsidRPr="00C947BB">
        <w:rPr>
          <w:rFonts w:ascii="Times New Roman" w:hAnsi="Times New Roman"/>
          <w:i/>
        </w:rPr>
        <w:t xml:space="preserve"> La rete ferroviaria ungherese spezzata: la fine di un impero</w:t>
      </w:r>
      <w:r>
        <w:rPr>
          <w:rFonts w:ascii="Times New Roman" w:hAnsi="Times New Roman"/>
        </w:rPr>
        <w:t xml:space="preserve">, ne </w:t>
      </w:r>
      <w:r w:rsidRPr="00C947BB">
        <w:rPr>
          <w:rFonts w:ascii="Times New Roman" w:hAnsi="Times New Roman"/>
          <w:i/>
        </w:rPr>
        <w:t>La fine della Grande Ungheria. Fra rivoluzione e reazione</w:t>
      </w:r>
      <w:r>
        <w:rPr>
          <w:rFonts w:ascii="Times New Roman" w:hAnsi="Times New Roman"/>
          <w:i/>
        </w:rPr>
        <w:t>,</w:t>
      </w:r>
      <w:r w:rsidRPr="00C947BB">
        <w:rPr>
          <w:rFonts w:ascii="Times New Roman" w:hAnsi="Times New Roman"/>
          <w:i/>
        </w:rPr>
        <w:t xml:space="preserve"> 1918-1920</w:t>
      </w:r>
      <w:r w:rsidRPr="00C947BB">
        <w:rPr>
          <w:rFonts w:ascii="Times New Roman" w:hAnsi="Times New Roman"/>
        </w:rPr>
        <w:t>,</w:t>
      </w:r>
      <w:r>
        <w:rPr>
          <w:rFonts w:ascii="Times New Roman" w:hAnsi="Times New Roman"/>
        </w:rPr>
        <w:t xml:space="preserve"> a cura di</w:t>
      </w:r>
      <w:r w:rsidRPr="00C947BB">
        <w:rPr>
          <w:rFonts w:ascii="Times New Roman" w:hAnsi="Times New Roman"/>
        </w:rPr>
        <w:t xml:space="preserve"> Albert</w:t>
      </w:r>
      <w:r>
        <w:rPr>
          <w:rFonts w:ascii="Times New Roman" w:hAnsi="Times New Roman"/>
        </w:rPr>
        <w:t>o Basciani e Roberto Ruspanti</w:t>
      </w:r>
      <w:r w:rsidRPr="00C947BB">
        <w:rPr>
          <w:rFonts w:ascii="Times New Roman" w:hAnsi="Times New Roman"/>
        </w:rPr>
        <w:t>,</w:t>
      </w:r>
      <w:r>
        <w:rPr>
          <w:rFonts w:ascii="Times New Roman" w:hAnsi="Times New Roman"/>
        </w:rPr>
        <w:t xml:space="preserve"> Beit</w:t>
      </w:r>
      <w:r w:rsidRPr="00C947BB">
        <w:rPr>
          <w:rFonts w:ascii="Times New Roman" w:hAnsi="Times New Roman"/>
        </w:rPr>
        <w:t>, Trieste 2009, pp. 161-182.</w:t>
      </w:r>
    </w:p>
    <w:p w14:paraId="72B18D78" w14:textId="77777777" w:rsidR="00591B49" w:rsidRPr="00C201B7" w:rsidRDefault="00591B49" w:rsidP="00C201B7">
      <w:pPr>
        <w:pStyle w:val="Testonotaapidipagina"/>
      </w:pPr>
    </w:p>
    <w:p w14:paraId="33E4CD1D" w14:textId="1B45ADBB" w:rsidR="00591B49" w:rsidRPr="00C201B7" w:rsidRDefault="00591B49">
      <w:pPr>
        <w:pStyle w:val="Testonotaapidipagina"/>
      </w:pPr>
    </w:p>
  </w:footnote>
  <w:footnote w:id="72">
    <w:p w14:paraId="017844E5" w14:textId="333B0F22" w:rsidR="00591B49" w:rsidRPr="00D30275" w:rsidRDefault="00591B49" w:rsidP="00ED7D07">
      <w:pPr>
        <w:shd w:val="clear" w:color="auto" w:fill="FFFFFF"/>
        <w:spacing w:before="100" w:beforeAutospacing="1" w:after="0" w:line="240" w:lineRule="auto"/>
        <w:ind w:right="567"/>
        <w:jc w:val="both"/>
        <w:rPr>
          <w:rFonts w:ascii="Times New Roman" w:eastAsia="Times New Roman" w:hAnsi="Times New Roman"/>
          <w:sz w:val="21"/>
          <w:szCs w:val="21"/>
          <w:lang w:val="en-US" w:eastAsia="it-IT"/>
        </w:rPr>
      </w:pPr>
      <w:r w:rsidRPr="004D56A9">
        <w:rPr>
          <w:rStyle w:val="Rimandonotaapidipagina"/>
          <w:rFonts w:ascii="Times New Roman" w:hAnsi="Times New Roman"/>
        </w:rPr>
        <w:footnoteRef/>
      </w:r>
      <w:r w:rsidRPr="004D56A9">
        <w:rPr>
          <w:rFonts w:ascii="Times New Roman" w:hAnsi="Times New Roman"/>
        </w:rPr>
        <w:t xml:space="preserve"> </w:t>
      </w:r>
      <w:r w:rsidRPr="0074518D">
        <w:rPr>
          <w:rFonts w:ascii="Times New Roman" w:hAnsi="Times New Roman"/>
          <w:sz w:val="20"/>
          <w:szCs w:val="20"/>
        </w:rPr>
        <w:t xml:space="preserve">Il conte Eduard Taaffe (1833-1895) aveva formato una maggioranza di governo sostenuta dai grandi proprietari terrieri cechi e polacchi, unitamente ai clericali conservatori. </w:t>
      </w:r>
      <w:r w:rsidRPr="0074518D">
        <w:rPr>
          <w:rFonts w:ascii="Times New Roman" w:hAnsi="Times New Roman"/>
          <w:sz w:val="20"/>
          <w:szCs w:val="20"/>
          <w:lang w:val="en-US"/>
        </w:rPr>
        <w:t xml:space="preserve">In proposito </w:t>
      </w:r>
      <w:r w:rsidRPr="0074518D">
        <w:rPr>
          <w:rFonts w:ascii="Times New Roman" w:eastAsia="Times New Roman" w:hAnsi="Times New Roman"/>
          <w:sz w:val="20"/>
          <w:szCs w:val="20"/>
          <w:lang w:val="en-US" w:eastAsia="it-IT"/>
        </w:rPr>
        <w:t xml:space="preserve">Margarete Grandner, </w:t>
      </w:r>
      <w:r w:rsidRPr="0074518D">
        <w:rPr>
          <w:rFonts w:ascii="Times New Roman" w:eastAsia="Times New Roman" w:hAnsi="Times New Roman"/>
          <w:i/>
          <w:sz w:val="20"/>
          <w:szCs w:val="20"/>
          <w:lang w:val="en-US" w:eastAsia="it-IT"/>
        </w:rPr>
        <w:t>Conservative Social Politics in Austria, 1880–1890</w:t>
      </w:r>
      <w:r w:rsidRPr="0074518D">
        <w:rPr>
          <w:rFonts w:ascii="Times New Roman" w:eastAsia="Times New Roman" w:hAnsi="Times New Roman"/>
          <w:sz w:val="20"/>
          <w:szCs w:val="20"/>
          <w:lang w:val="en-US" w:eastAsia="it-IT"/>
        </w:rPr>
        <w:t>, in «</w:t>
      </w:r>
      <w:r w:rsidRPr="0074518D">
        <w:rPr>
          <w:rFonts w:ascii="Times New Roman" w:eastAsia="Times New Roman" w:hAnsi="Times New Roman"/>
          <w:iCs/>
          <w:sz w:val="20"/>
          <w:szCs w:val="20"/>
          <w:lang w:val="en-US" w:eastAsia="it-IT"/>
        </w:rPr>
        <w:t>Austrian History Yearbook»</w:t>
      </w:r>
      <w:r w:rsidRPr="0074518D">
        <w:rPr>
          <w:rFonts w:ascii="Times New Roman" w:eastAsia="Times New Roman" w:hAnsi="Times New Roman"/>
          <w:sz w:val="20"/>
          <w:szCs w:val="20"/>
          <w:lang w:val="en-US" w:eastAsia="it-IT"/>
        </w:rPr>
        <w:t xml:space="preserve">, Nr. 27 (1996), </w:t>
      </w:r>
      <w:r w:rsidRPr="0074518D">
        <w:rPr>
          <w:rFonts w:ascii="Times New Roman" w:hAnsi="Times New Roman"/>
          <w:sz w:val="20"/>
          <w:szCs w:val="20"/>
          <w:shd w:val="clear" w:color="auto" w:fill="FFFFFF"/>
          <w:lang w:val="en-US"/>
        </w:rPr>
        <w:t xml:space="preserve">Center for Austrian Studies, University of Minnesota, </w:t>
      </w:r>
      <w:r w:rsidRPr="0074518D">
        <w:rPr>
          <w:rFonts w:ascii="Times New Roman" w:eastAsia="Times New Roman" w:hAnsi="Times New Roman"/>
          <w:sz w:val="20"/>
          <w:szCs w:val="20"/>
          <w:lang w:val="en-US" w:eastAsia="it-IT"/>
        </w:rPr>
        <w:t>pp. 77-107.</w:t>
      </w:r>
    </w:p>
    <w:p w14:paraId="33F02AC1" w14:textId="373384BC" w:rsidR="00591B49" w:rsidRPr="00D30275" w:rsidRDefault="00591B49" w:rsidP="00ED7D07">
      <w:pPr>
        <w:pStyle w:val="Testonotaapidipagina"/>
        <w:ind w:right="567"/>
        <w:jc w:val="both"/>
        <w:rPr>
          <w:lang w:val="en-US"/>
        </w:rPr>
      </w:pPr>
      <w:r w:rsidRPr="00D30275">
        <w:rPr>
          <w:lang w:val="en-US"/>
        </w:rPr>
        <w:t xml:space="preserve">   </w:t>
      </w:r>
    </w:p>
  </w:footnote>
  <w:footnote w:id="73">
    <w:p w14:paraId="32E33A4C" w14:textId="18A89676" w:rsidR="00591B49" w:rsidRPr="008B434D" w:rsidRDefault="00591B49" w:rsidP="008B434D">
      <w:pPr>
        <w:pStyle w:val="Testonotaapidipagina"/>
        <w:ind w:right="567"/>
        <w:jc w:val="both"/>
      </w:pPr>
      <w:r>
        <w:rPr>
          <w:rStyle w:val="Rimandonotaapidipagina"/>
        </w:rPr>
        <w:footnoteRef/>
      </w:r>
      <w:r w:rsidRPr="008B434D">
        <w:rPr>
          <w:rFonts w:ascii="Times New Roman" w:hAnsi="Times New Roman"/>
        </w:rPr>
        <w:t xml:space="preserve">Iván Bertényi Jr., </w:t>
      </w:r>
      <w:r w:rsidRPr="008B434D">
        <w:rPr>
          <w:rFonts w:ascii="Times New Roman" w:hAnsi="Times New Roman"/>
          <w:i/>
        </w:rPr>
        <w:t>Megosztó Kompromisszum. Az 1867-es kiegyezés sikerei és kudarcai 150 év távlatából</w:t>
      </w:r>
      <w:r w:rsidRPr="008B434D">
        <w:rPr>
          <w:rFonts w:ascii="Times New Roman" w:hAnsi="Times New Roman"/>
        </w:rPr>
        <w:t xml:space="preserve"> [Un compromesso condiviso. Successi e fallimenti dell’accordo del 1867 a distanza di 150 anni], in Róbert Hermann, Dávid Ligeti (a cura di),</w:t>
      </w:r>
      <w:r>
        <w:rPr>
          <w:rFonts w:ascii="Arial Narrow" w:hAnsi="Arial Narrow"/>
        </w:rPr>
        <w:t xml:space="preserve"> </w:t>
      </w:r>
      <w:r w:rsidRPr="008B434D">
        <w:rPr>
          <w:rFonts w:ascii="Times New Roman" w:hAnsi="Times New Roman"/>
          <w:i/>
        </w:rPr>
        <w:t>Megosztó Kompromisszum. Az 1867-es kiegyezés sikerei és kudarcai 150 év távlatából</w:t>
      </w:r>
      <w:r>
        <w:rPr>
          <w:rFonts w:ascii="Times New Roman" w:hAnsi="Times New Roman"/>
          <w:i/>
        </w:rPr>
        <w:t xml:space="preserve">, </w:t>
      </w:r>
      <w:r w:rsidRPr="008B434D">
        <w:rPr>
          <w:rFonts w:ascii="Times New Roman" w:hAnsi="Times New Roman"/>
        </w:rPr>
        <w:t>Országház Könyvkiadó</w:t>
      </w:r>
      <w:r>
        <w:rPr>
          <w:rFonts w:ascii="Times New Roman" w:hAnsi="Times New Roman"/>
        </w:rPr>
        <w:t xml:space="preserve"> </w:t>
      </w:r>
      <w:r>
        <w:rPr>
          <w:rFonts w:ascii="Arial Narrow" w:hAnsi="Arial Narrow"/>
        </w:rPr>
        <w:t>[</w:t>
      </w:r>
      <w:r>
        <w:rPr>
          <w:rFonts w:ascii="Times New Roman" w:hAnsi="Times New Roman"/>
        </w:rPr>
        <w:t>Edizioni del Parlamento</w:t>
      </w:r>
      <w:r>
        <w:rPr>
          <w:rFonts w:ascii="Arial Narrow" w:hAnsi="Arial Narrow"/>
        </w:rPr>
        <w:t>]</w:t>
      </w:r>
      <w:r w:rsidRPr="008B434D">
        <w:rPr>
          <w:rFonts w:ascii="Times New Roman" w:hAnsi="Times New Roman"/>
        </w:rPr>
        <w:t>, Budapest 2018, pp.</w:t>
      </w:r>
      <w:r>
        <w:rPr>
          <w:rFonts w:ascii="Times New Roman" w:hAnsi="Times New Roman"/>
        </w:rPr>
        <w:t xml:space="preserve"> 9-36, in particolare p. 27.</w:t>
      </w:r>
      <w:r>
        <w:rPr>
          <w:rFonts w:ascii="Times New Roman" w:hAnsi="Times New Roman"/>
          <w:i/>
        </w:rPr>
        <w:t xml:space="preserve"> </w:t>
      </w:r>
      <w:r w:rsidRPr="008B434D">
        <w:rPr>
          <w:rFonts w:ascii="Arial Narrow" w:hAnsi="Arial Narrow"/>
        </w:rPr>
        <w:t xml:space="preserve"> </w:t>
      </w:r>
      <w:r w:rsidRPr="008B434D">
        <w:t xml:space="preserve"> </w:t>
      </w:r>
    </w:p>
  </w:footnote>
  <w:footnote w:id="74">
    <w:p w14:paraId="35AF25C5" w14:textId="43E0CD3A" w:rsidR="00591B49" w:rsidRPr="00655D5C" w:rsidRDefault="00591B49" w:rsidP="009019DF">
      <w:pPr>
        <w:pStyle w:val="Testonotaapidipagina"/>
        <w:ind w:right="567"/>
        <w:jc w:val="both"/>
        <w:rPr>
          <w:rFonts w:ascii="Times New Roman" w:hAnsi="Times New Roman"/>
        </w:rPr>
      </w:pPr>
      <w:r>
        <w:rPr>
          <w:rStyle w:val="Rimandonotaapidipagina"/>
        </w:rPr>
        <w:footnoteRef/>
      </w:r>
      <w:r w:rsidRPr="008B434D">
        <w:t xml:space="preserve"> </w:t>
      </w:r>
      <w:r w:rsidRPr="008B434D">
        <w:rPr>
          <w:rFonts w:ascii="Times New Roman" w:hAnsi="Times New Roman"/>
        </w:rPr>
        <w:t xml:space="preserve">Friedrich Weissensteiner, </w:t>
      </w:r>
      <w:r w:rsidRPr="008B434D">
        <w:rPr>
          <w:rFonts w:ascii="Times New Roman" w:hAnsi="Times New Roman"/>
          <w:i/>
        </w:rPr>
        <w:t xml:space="preserve">Franz Ferdinand. </w:t>
      </w:r>
      <w:r w:rsidRPr="00655D5C">
        <w:rPr>
          <w:rFonts w:ascii="Times New Roman" w:hAnsi="Times New Roman"/>
          <w:i/>
        </w:rPr>
        <w:t>Der verhinderte Herrscher</w:t>
      </w:r>
      <w:r w:rsidRPr="00655D5C">
        <w:rPr>
          <w:rFonts w:ascii="Times New Roman" w:hAnsi="Times New Roman"/>
        </w:rPr>
        <w:t xml:space="preserve">, </w:t>
      </w:r>
      <w:r w:rsidRPr="00655D5C">
        <w:rPr>
          <w:rFonts w:ascii="Arial Narrow" w:hAnsi="Arial Narrow"/>
        </w:rPr>
        <w:t>[</w:t>
      </w:r>
      <w:r w:rsidRPr="00655D5C">
        <w:rPr>
          <w:rFonts w:ascii="Times New Roman" w:hAnsi="Times New Roman"/>
        </w:rPr>
        <w:t xml:space="preserve">Francesco Ferdinando. </w:t>
      </w:r>
      <w:r>
        <w:rPr>
          <w:rFonts w:ascii="Times New Roman" w:hAnsi="Times New Roman"/>
        </w:rPr>
        <w:t>Il sovrano mancato</w:t>
      </w:r>
      <w:r>
        <w:rPr>
          <w:rFonts w:ascii="Arial Narrow" w:hAnsi="Arial Narrow"/>
        </w:rPr>
        <w:t>]</w:t>
      </w:r>
      <w:r>
        <w:rPr>
          <w:rFonts w:ascii="Times New Roman" w:hAnsi="Times New Roman"/>
        </w:rPr>
        <w:t xml:space="preserve">, Buchverlag Kremayr &amp; Scheriau/Orac, Wien 2007, </w:t>
      </w:r>
      <w:r w:rsidRPr="00655D5C">
        <w:rPr>
          <w:rFonts w:ascii="Times New Roman" w:hAnsi="Times New Roman"/>
        </w:rPr>
        <w:t xml:space="preserve">pp.177-196, p. 182. </w:t>
      </w:r>
    </w:p>
  </w:footnote>
  <w:footnote w:id="75">
    <w:p w14:paraId="0E9672CF" w14:textId="044E68FD" w:rsidR="00591B49" w:rsidRPr="00D64A10" w:rsidRDefault="00591B49" w:rsidP="00393391">
      <w:pPr>
        <w:pStyle w:val="Testonotaapidipagina"/>
        <w:spacing w:before="100" w:beforeAutospacing="1" w:after="100" w:afterAutospacing="1"/>
        <w:ind w:right="567"/>
        <w:jc w:val="both"/>
        <w:rPr>
          <w:rFonts w:ascii="Times New Roman" w:hAnsi="Times New Roman"/>
        </w:rPr>
      </w:pPr>
      <w:r>
        <w:rPr>
          <w:rStyle w:val="Rimandonotaapidipagina"/>
        </w:rPr>
        <w:footnoteRef/>
      </w:r>
      <w:r w:rsidRPr="00393391">
        <w:t xml:space="preserve"> </w:t>
      </w:r>
      <w:r>
        <w:rPr>
          <w:rFonts w:ascii="Times New Roman" w:hAnsi="Times New Roman"/>
        </w:rPr>
        <w:t>Il capo di gabinetto della Cancelleria militare</w:t>
      </w:r>
      <w:r w:rsidRPr="00D64A10">
        <w:rPr>
          <w:rFonts w:ascii="Times New Roman" w:hAnsi="Times New Roman"/>
        </w:rPr>
        <w:t xml:space="preserve"> di Francesco Ferdinando, </w:t>
      </w:r>
      <w:r>
        <w:rPr>
          <w:rFonts w:ascii="Times New Roman" w:hAnsi="Times New Roman"/>
        </w:rPr>
        <w:t>colonnello Alexander</w:t>
      </w:r>
      <w:r w:rsidRPr="00D64A10">
        <w:rPr>
          <w:rFonts w:ascii="Times New Roman" w:hAnsi="Times New Roman"/>
        </w:rPr>
        <w:t xml:space="preserve"> Brosch </w:t>
      </w:r>
      <w:r>
        <w:rPr>
          <w:rFonts w:ascii="Times New Roman" w:hAnsi="Times New Roman"/>
        </w:rPr>
        <w:t xml:space="preserve">Edler </w:t>
      </w:r>
      <w:r w:rsidRPr="00D64A10">
        <w:rPr>
          <w:rFonts w:ascii="Times New Roman" w:hAnsi="Times New Roman"/>
        </w:rPr>
        <w:t>von Aarenau, scrisse in una lettera che il Trialismo valeva bene per tenere in soggezione i magiari, ma in realtà non doveva essere preso seriamente</w:t>
      </w:r>
      <w:r>
        <w:rPr>
          <w:rFonts w:ascii="Times New Roman" w:hAnsi="Times New Roman"/>
        </w:rPr>
        <w:t>.</w:t>
      </w:r>
      <w:r w:rsidRPr="00D64A10">
        <w:rPr>
          <w:rFonts w:ascii="Times New Roman" w:hAnsi="Times New Roman"/>
        </w:rPr>
        <w:t xml:space="preserve"> Lothar Hobelt, </w:t>
      </w:r>
      <w:r w:rsidRPr="00D64A10">
        <w:rPr>
          <w:rFonts w:ascii="Times New Roman" w:hAnsi="Times New Roman"/>
          <w:i/>
        </w:rPr>
        <w:t>Ausztria és az 1867. évi kiegyezés</w:t>
      </w:r>
      <w:r w:rsidRPr="00D64A10">
        <w:rPr>
          <w:rFonts w:ascii="Times New Roman" w:hAnsi="Times New Roman"/>
        </w:rPr>
        <w:t xml:space="preserve"> [L’Austria e il compromesso del 1867] in Róbert Hermann, Dávid Ligeti (a cura di), </w:t>
      </w:r>
      <w:r w:rsidRPr="00D64A10">
        <w:rPr>
          <w:rFonts w:ascii="Times New Roman" w:hAnsi="Times New Roman"/>
          <w:i/>
        </w:rPr>
        <w:t xml:space="preserve">Megosztó Kompromisszum. Az 1867-es kiegyezés sikerei és kudarcai 150 év távlatából, </w:t>
      </w:r>
      <w:r w:rsidRPr="00D64A10">
        <w:rPr>
          <w:rFonts w:ascii="Times New Roman" w:hAnsi="Times New Roman"/>
        </w:rPr>
        <w:t xml:space="preserve">[Un Compromesso condiviso. Successi e fallimenti del compromesso del 1867 a 150 anni di distanza], Országház Könyvkiadó [Edizioni del Parlamento], Budapest 2018, pp. 39-52, in particolare p. 49, nota 32.   </w:t>
      </w:r>
    </w:p>
    <w:p w14:paraId="3131DED8" w14:textId="6785AEF9" w:rsidR="00591B49" w:rsidRPr="00393391" w:rsidRDefault="00591B49">
      <w:pPr>
        <w:pStyle w:val="Testonotaapidipagina"/>
      </w:pPr>
    </w:p>
  </w:footnote>
  <w:footnote w:id="76">
    <w:p w14:paraId="31B99CDB" w14:textId="099CCA60" w:rsidR="00591B49" w:rsidRPr="009D4BFE" w:rsidRDefault="00591B49" w:rsidP="006E66F2">
      <w:pPr>
        <w:spacing w:before="100" w:beforeAutospacing="1" w:after="100" w:afterAutospacing="1" w:line="240" w:lineRule="auto"/>
        <w:ind w:right="567"/>
        <w:jc w:val="both"/>
        <w:rPr>
          <w:rFonts w:ascii="Times New Roman" w:eastAsia="Times New Roman" w:hAnsi="Times New Roman"/>
          <w:sz w:val="20"/>
          <w:szCs w:val="20"/>
          <w:lang w:eastAsia="it-IT"/>
        </w:rPr>
      </w:pPr>
      <w:r>
        <w:rPr>
          <w:rStyle w:val="Rimandonotaapidipagina"/>
        </w:rPr>
        <w:footnoteRef/>
      </w:r>
      <w:r w:rsidRPr="00EE596D">
        <w:t xml:space="preserve"> </w:t>
      </w:r>
      <w:r w:rsidRPr="006E66F2">
        <w:rPr>
          <w:rFonts w:ascii="Times New Roman" w:hAnsi="Times New Roman"/>
          <w:sz w:val="20"/>
          <w:szCs w:val="20"/>
        </w:rPr>
        <w:t xml:space="preserve">Soprattutto Trieste e Fiume. Per Trieste v. </w:t>
      </w:r>
      <w:r w:rsidRPr="006E66F2">
        <w:rPr>
          <w:rFonts w:ascii="Times New Roman" w:eastAsia="Times New Roman" w:hAnsi="Times New Roman"/>
          <w:sz w:val="20"/>
          <w:szCs w:val="20"/>
          <w:lang w:eastAsia="it-IT"/>
        </w:rPr>
        <w:t xml:space="preserve">Marina Cattaruzza, </w:t>
      </w:r>
      <w:r w:rsidRPr="006E66F2">
        <w:rPr>
          <w:rFonts w:ascii="Times New Roman" w:hAnsi="Times New Roman"/>
          <w:i/>
          <w:sz w:val="20"/>
          <w:szCs w:val="20"/>
          <w:shd w:val="clear" w:color="auto" w:fill="FFFFFF"/>
        </w:rPr>
        <w:t>Socialismo Adriatico. La socialdemocrazia di lingua italiana nei territori costieri della Monarchia asburgica: 1888-1914</w:t>
      </w:r>
      <w:r w:rsidRPr="006E66F2">
        <w:rPr>
          <w:rFonts w:ascii="Times New Roman" w:hAnsi="Times New Roman"/>
          <w:sz w:val="20"/>
          <w:szCs w:val="20"/>
          <w:shd w:val="clear" w:color="auto" w:fill="FFFFFF"/>
        </w:rPr>
        <w:t>, Piero Lacaita Editore, Manduria - Bari - Roma 1998.</w:t>
      </w:r>
      <w:r>
        <w:rPr>
          <w:rFonts w:ascii="Times New Roman" w:hAnsi="Times New Roman"/>
          <w:sz w:val="20"/>
          <w:szCs w:val="20"/>
          <w:shd w:val="clear" w:color="auto" w:fill="FFFFFF"/>
        </w:rPr>
        <w:t xml:space="preserve"> Sui socialisti a Fiume, </w:t>
      </w:r>
      <w:r w:rsidRPr="006E66F2">
        <w:rPr>
          <w:rFonts w:ascii="Times New Roman" w:hAnsi="Times New Roman"/>
          <w:sz w:val="20"/>
          <w:szCs w:val="20"/>
          <w:shd w:val="clear" w:color="auto" w:fill="FFFFFF"/>
        </w:rPr>
        <w:t>Ivan Jeličić</w:t>
      </w:r>
      <w:r>
        <w:rPr>
          <w:rFonts w:ascii="Times New Roman" w:hAnsi="Times New Roman"/>
          <w:sz w:val="20"/>
          <w:szCs w:val="20"/>
          <w:shd w:val="clear" w:color="auto" w:fill="FFFFFF"/>
        </w:rPr>
        <w:t xml:space="preserve">, </w:t>
      </w:r>
      <w:r w:rsidRPr="009D4BFE">
        <w:rPr>
          <w:rFonts w:ascii="Times New Roman" w:hAnsi="Times New Roman"/>
          <w:i/>
          <w:sz w:val="20"/>
          <w:szCs w:val="20"/>
          <w:shd w:val="clear" w:color="auto" w:fill="FFFFFF"/>
        </w:rPr>
        <w:t>Nell'ombra dell'autonomismo. Il movimento socialista a Fiume, 1901-1921</w:t>
      </w:r>
      <w:r>
        <w:rPr>
          <w:rFonts w:ascii="Times New Roman" w:hAnsi="Times New Roman"/>
          <w:sz w:val="20"/>
          <w:szCs w:val="20"/>
          <w:shd w:val="clear" w:color="auto" w:fill="FFFFFF"/>
        </w:rPr>
        <w:t>, Tesi dottorale discussa nell’anno accademico 2015-16, Università degli Studi di Trieste.</w:t>
      </w:r>
    </w:p>
    <w:p w14:paraId="442938E3" w14:textId="668ED5F4" w:rsidR="00591B49" w:rsidRPr="00EE596D" w:rsidRDefault="00591B49">
      <w:pPr>
        <w:pStyle w:val="Testonotaapidipagina"/>
        <w:rPr>
          <w:rFonts w:ascii="Times New Roman" w:hAnsi="Times New Roman"/>
        </w:rPr>
      </w:pPr>
    </w:p>
  </w:footnote>
  <w:footnote w:id="77">
    <w:p w14:paraId="2BE22D28" w14:textId="520D1175" w:rsidR="00591B49" w:rsidRPr="000D09B6" w:rsidRDefault="00591B49" w:rsidP="00422A67">
      <w:pPr>
        <w:pStyle w:val="Testonotaapidipagina"/>
        <w:ind w:right="567"/>
        <w:jc w:val="both"/>
        <w:rPr>
          <w:rFonts w:ascii="Times New Roman" w:hAnsi="Times New Roman"/>
        </w:rPr>
      </w:pPr>
      <w:r>
        <w:rPr>
          <w:rStyle w:val="Rimandonotaapidipagina"/>
        </w:rPr>
        <w:footnoteRef/>
      </w:r>
      <w:r w:rsidRPr="00132F1C">
        <w:rPr>
          <w:lang w:val="en-US"/>
        </w:rPr>
        <w:t xml:space="preserve"> </w:t>
      </w:r>
      <w:r w:rsidR="00F128FA" w:rsidRPr="00132F1C">
        <w:rPr>
          <w:rFonts w:ascii="Times New Roman" w:hAnsi="Times New Roman"/>
          <w:lang w:val="en-US"/>
        </w:rPr>
        <w:t>Sull’</w:t>
      </w:r>
      <w:r w:rsidR="00132F1C" w:rsidRPr="00132F1C">
        <w:rPr>
          <w:rFonts w:ascii="Times New Roman" w:hAnsi="Times New Roman"/>
          <w:lang w:val="en-US"/>
        </w:rPr>
        <w:t>austro</w:t>
      </w:r>
      <w:r w:rsidR="00327E23">
        <w:rPr>
          <w:rFonts w:ascii="Times New Roman" w:hAnsi="Times New Roman"/>
          <w:lang w:val="en-US"/>
        </w:rPr>
        <w:t>-</w:t>
      </w:r>
      <w:r w:rsidR="00132F1C" w:rsidRPr="00132F1C">
        <w:rPr>
          <w:rFonts w:ascii="Times New Roman" w:hAnsi="Times New Roman"/>
          <w:lang w:val="en-US"/>
        </w:rPr>
        <w:t xml:space="preserve">marxismo Norbert Leser, </w:t>
      </w:r>
      <w:r w:rsidR="00132F1C" w:rsidRPr="00327E23">
        <w:rPr>
          <w:rFonts w:ascii="Times New Roman" w:hAnsi="Times New Roman"/>
          <w:i/>
          <w:iCs/>
          <w:shd w:val="clear" w:color="auto" w:fill="FFFFFF"/>
          <w:lang w:val="en-US"/>
        </w:rPr>
        <w:t xml:space="preserve">Zwischen Reformismus und Bolschewismus. </w:t>
      </w:r>
      <w:r w:rsidR="00132F1C" w:rsidRPr="00327E23">
        <w:rPr>
          <w:rFonts w:ascii="Times New Roman" w:hAnsi="Times New Roman"/>
          <w:i/>
          <w:iCs/>
          <w:shd w:val="clear" w:color="auto" w:fill="FFFFFF"/>
        </w:rPr>
        <w:t>Der Austromarxismus als Theorie und Praxis</w:t>
      </w:r>
      <w:r w:rsidR="00327E23">
        <w:rPr>
          <w:rFonts w:ascii="Times New Roman" w:hAnsi="Times New Roman"/>
          <w:shd w:val="clear" w:color="auto" w:fill="FFFFFF"/>
        </w:rPr>
        <w:t xml:space="preserve"> </w:t>
      </w:r>
      <w:r w:rsidR="00327E23" w:rsidRPr="00327E23">
        <w:rPr>
          <w:rFonts w:ascii="Arial Narrow" w:hAnsi="Arial Narrow"/>
          <w:shd w:val="clear" w:color="auto" w:fill="FFFFFF"/>
        </w:rPr>
        <w:t>[</w:t>
      </w:r>
      <w:r w:rsidR="00327E23" w:rsidRPr="00327E23">
        <w:rPr>
          <w:rFonts w:ascii="Times New Roman" w:hAnsi="Times New Roman"/>
          <w:shd w:val="clear" w:color="auto" w:fill="FFFFFF"/>
        </w:rPr>
        <w:t>Tra riformismo e bolscevismo.</w:t>
      </w:r>
      <w:r w:rsidR="00327E23">
        <w:rPr>
          <w:rFonts w:ascii="Times New Roman" w:hAnsi="Times New Roman"/>
          <w:shd w:val="clear" w:color="auto" w:fill="FFFFFF"/>
        </w:rPr>
        <w:t xml:space="preserve"> L’austro-marxismo in teoria e in pratica</w:t>
      </w:r>
      <w:r w:rsidR="00327E23">
        <w:rPr>
          <w:rFonts w:ascii="Arial Narrow" w:hAnsi="Arial Narrow"/>
          <w:shd w:val="clear" w:color="auto" w:fill="FFFFFF"/>
        </w:rPr>
        <w:t>]</w:t>
      </w:r>
      <w:r w:rsidR="00327E23">
        <w:rPr>
          <w:rFonts w:ascii="Times New Roman" w:hAnsi="Times New Roman"/>
          <w:shd w:val="clear" w:color="auto" w:fill="FFFFFF"/>
        </w:rPr>
        <w:t>,</w:t>
      </w:r>
      <w:r w:rsidR="00132F1C" w:rsidRPr="00327E23">
        <w:rPr>
          <w:rFonts w:ascii="Times New Roman" w:hAnsi="Times New Roman"/>
          <w:shd w:val="clear" w:color="auto" w:fill="FFFFFF"/>
        </w:rPr>
        <w:t xml:space="preserve"> </w:t>
      </w:r>
      <w:r w:rsidR="00327E23" w:rsidRPr="00327E23">
        <w:rPr>
          <w:rFonts w:ascii="Times New Roman" w:hAnsi="Times New Roman"/>
          <w:shd w:val="clear" w:color="auto" w:fill="FFFFFF"/>
        </w:rPr>
        <w:t xml:space="preserve">Europa Verlag, </w:t>
      </w:r>
      <w:r w:rsidR="00132F1C" w:rsidRPr="00327E23">
        <w:rPr>
          <w:rFonts w:ascii="Times New Roman" w:hAnsi="Times New Roman"/>
          <w:shd w:val="clear" w:color="auto" w:fill="FFFFFF"/>
        </w:rPr>
        <w:t>Wien 1968</w:t>
      </w:r>
      <w:r w:rsidR="00327E23" w:rsidRPr="00327E23">
        <w:rPr>
          <w:rFonts w:ascii="Times New Roman" w:hAnsi="Times New Roman"/>
          <w:shd w:val="clear" w:color="auto" w:fill="FFFFFF"/>
        </w:rPr>
        <w:t xml:space="preserve">; </w:t>
      </w:r>
      <w:r w:rsidR="003C02D7">
        <w:rPr>
          <w:rFonts w:ascii="Times New Roman" w:hAnsi="Times New Roman"/>
        </w:rPr>
        <w:t>u</w:t>
      </w:r>
      <w:r w:rsidR="000D09B6">
        <w:rPr>
          <w:rFonts w:ascii="Times New Roman" w:hAnsi="Times New Roman"/>
        </w:rPr>
        <w:t xml:space="preserve">na </w:t>
      </w:r>
      <w:r w:rsidR="003C02D7">
        <w:rPr>
          <w:rFonts w:ascii="Times New Roman" w:hAnsi="Times New Roman"/>
        </w:rPr>
        <w:t xml:space="preserve">nuova </w:t>
      </w:r>
      <w:r w:rsidR="000D09B6">
        <w:rPr>
          <w:rFonts w:ascii="Times New Roman" w:hAnsi="Times New Roman"/>
        </w:rPr>
        <w:t xml:space="preserve">visione critica su uno dei principali teorici dell’austro-marxismo è il recente contributo di Ernst Hanisch, </w:t>
      </w:r>
      <w:r w:rsidR="000D09B6" w:rsidRPr="000D09B6">
        <w:rPr>
          <w:rFonts w:ascii="Times New Roman" w:hAnsi="Times New Roman"/>
          <w:i/>
        </w:rPr>
        <w:t>Der gro</w:t>
      </w:r>
      <w:r w:rsidR="000D09B6" w:rsidRPr="000D09B6">
        <w:rPr>
          <w:rFonts w:ascii="Arial Narrow" w:hAnsi="Arial Narrow"/>
          <w:i/>
        </w:rPr>
        <w:t>ß</w:t>
      </w:r>
      <w:r w:rsidR="000D09B6" w:rsidRPr="000D09B6">
        <w:rPr>
          <w:rFonts w:ascii="Times New Roman" w:hAnsi="Times New Roman"/>
          <w:i/>
        </w:rPr>
        <w:t>e Illusionist. Otto Bauer 1881-1938</w:t>
      </w:r>
      <w:r w:rsidR="000D09B6">
        <w:rPr>
          <w:rFonts w:ascii="Times New Roman" w:hAnsi="Times New Roman"/>
        </w:rPr>
        <w:t xml:space="preserve">, </w:t>
      </w:r>
      <w:r w:rsidR="000D09B6">
        <w:rPr>
          <w:rFonts w:ascii="Arial Narrow" w:hAnsi="Arial Narrow"/>
        </w:rPr>
        <w:t>[</w:t>
      </w:r>
      <w:r w:rsidR="003C02D7">
        <w:rPr>
          <w:rFonts w:ascii="Times New Roman" w:hAnsi="Times New Roman"/>
        </w:rPr>
        <w:t xml:space="preserve">Il grande illuso. </w:t>
      </w:r>
      <w:r w:rsidR="000D09B6">
        <w:rPr>
          <w:rFonts w:ascii="Times New Roman" w:hAnsi="Times New Roman"/>
        </w:rPr>
        <w:t>Otto Bauer</w:t>
      </w:r>
      <w:r w:rsidR="000D09B6">
        <w:rPr>
          <w:rFonts w:ascii="Arial Narrow" w:hAnsi="Arial Narrow"/>
        </w:rPr>
        <w:t xml:space="preserve">], </w:t>
      </w:r>
      <w:r w:rsidR="000D09B6" w:rsidRPr="000D09B6">
        <w:rPr>
          <w:rFonts w:ascii="Times New Roman" w:hAnsi="Times New Roman"/>
        </w:rPr>
        <w:t>Böhlau</w:t>
      </w:r>
      <w:r w:rsidR="000D09B6">
        <w:rPr>
          <w:rFonts w:ascii="Times New Roman" w:hAnsi="Times New Roman"/>
        </w:rPr>
        <w:t xml:space="preserve"> </w:t>
      </w:r>
      <w:r w:rsidR="000D09B6" w:rsidRPr="000D09B6">
        <w:rPr>
          <w:rFonts w:ascii="Times New Roman" w:hAnsi="Times New Roman"/>
        </w:rPr>
        <w:t xml:space="preserve">Verlag, Wien-Köln-Weimar 2011. </w:t>
      </w:r>
    </w:p>
  </w:footnote>
  <w:footnote w:id="78">
    <w:p w14:paraId="298C660A" w14:textId="77777777" w:rsidR="00591B49" w:rsidRPr="004E23B7" w:rsidRDefault="00591B49" w:rsidP="006D6265">
      <w:pPr>
        <w:pStyle w:val="Testonotaapidipagina"/>
        <w:ind w:right="567"/>
        <w:jc w:val="both"/>
        <w:rPr>
          <w:rFonts w:ascii="Times New Roman" w:hAnsi="Times New Roman"/>
          <w:lang w:val="en-US"/>
        </w:rPr>
      </w:pPr>
      <w:r w:rsidRPr="00C947BB">
        <w:rPr>
          <w:rStyle w:val="Rimandonotaapidipagina"/>
          <w:rFonts w:ascii="Times New Roman" w:hAnsi="Times New Roman"/>
        </w:rPr>
        <w:footnoteRef/>
      </w:r>
      <w:r w:rsidRPr="002E6519">
        <w:rPr>
          <w:rFonts w:ascii="Times New Roman" w:hAnsi="Times New Roman"/>
          <w:lang w:val="en-US"/>
        </w:rPr>
        <w:t xml:space="preserve"> Vedi Ludwig Gogolak, </w:t>
      </w:r>
      <w:r w:rsidRPr="002E6519">
        <w:rPr>
          <w:rFonts w:ascii="Times New Roman" w:hAnsi="Times New Roman"/>
          <w:i/>
          <w:lang w:val="en-US"/>
        </w:rPr>
        <w:t>Ungarns Nationalitäten Gesetze und das Problem des magyarischen National- und Zentralstaates</w:t>
      </w:r>
      <w:r w:rsidRPr="002E6519">
        <w:rPr>
          <w:rFonts w:ascii="Times New Roman" w:hAnsi="Times New Roman"/>
          <w:lang w:val="en-US"/>
        </w:rPr>
        <w:t xml:space="preserve">, in </w:t>
      </w:r>
      <w:r w:rsidRPr="002E6519">
        <w:rPr>
          <w:rFonts w:ascii="Times New Roman" w:hAnsi="Times New Roman"/>
          <w:i/>
          <w:lang w:val="en-US"/>
        </w:rPr>
        <w:t>Die Habsburgermonarchie 1848-1918</w:t>
      </w:r>
      <w:r w:rsidRPr="002E6519">
        <w:rPr>
          <w:rFonts w:ascii="Times New Roman" w:hAnsi="Times New Roman"/>
          <w:lang w:val="en-US"/>
        </w:rPr>
        <w:t xml:space="preserve">. </w:t>
      </w:r>
      <w:r>
        <w:rPr>
          <w:rFonts w:ascii="Times New Roman" w:hAnsi="Times New Roman"/>
          <w:lang w:val="en-US"/>
        </w:rPr>
        <w:t>Vol. 3.</w:t>
      </w:r>
      <w:r w:rsidRPr="004E23B7">
        <w:rPr>
          <w:rFonts w:ascii="Times New Roman" w:hAnsi="Times New Roman"/>
          <w:lang w:val="en-US"/>
        </w:rPr>
        <w:t xml:space="preserve"> </w:t>
      </w:r>
      <w:r w:rsidRPr="004E23B7">
        <w:rPr>
          <w:rFonts w:ascii="Times New Roman" w:hAnsi="Times New Roman"/>
          <w:i/>
          <w:lang w:val="en-US"/>
        </w:rPr>
        <w:t>Die Völker des Reiches</w:t>
      </w:r>
      <w:r w:rsidRPr="004E23B7">
        <w:rPr>
          <w:rFonts w:ascii="Times New Roman" w:hAnsi="Times New Roman"/>
          <w:lang w:val="en-US"/>
        </w:rPr>
        <w:t>,</w:t>
      </w:r>
      <w:r>
        <w:rPr>
          <w:rFonts w:ascii="Times New Roman" w:hAnsi="Times New Roman"/>
          <w:lang w:val="en-US"/>
        </w:rPr>
        <w:t xml:space="preserve"> </w:t>
      </w:r>
      <w:r w:rsidRPr="002E6519">
        <w:rPr>
          <w:rFonts w:ascii="Times New Roman" w:hAnsi="Times New Roman"/>
          <w:lang w:val="en-US"/>
        </w:rPr>
        <w:t>a cura di Adam Wandruszka e Peter Urbanitsch,</w:t>
      </w:r>
      <w:r w:rsidRPr="004E23B7">
        <w:rPr>
          <w:rFonts w:ascii="Times New Roman" w:hAnsi="Times New Roman"/>
          <w:lang w:val="en-US"/>
        </w:rPr>
        <w:t xml:space="preserve"> Verlag der Österreichischen Akademie der Wissenschaften, Wien 1980</w:t>
      </w:r>
      <w:r>
        <w:rPr>
          <w:rFonts w:ascii="Times New Roman" w:hAnsi="Times New Roman"/>
          <w:lang w:val="en-US"/>
        </w:rPr>
        <w:t>, pp. 1207-1303</w:t>
      </w:r>
      <w:r w:rsidRPr="004E23B7">
        <w:rPr>
          <w:rFonts w:ascii="Times New Roman" w:hAnsi="Times New Roman"/>
          <w:lang w:val="en-US"/>
        </w:rPr>
        <w:t>.</w:t>
      </w:r>
    </w:p>
  </w:footnote>
  <w:footnote w:id="79">
    <w:p w14:paraId="0A334BAD" w14:textId="6F9E5E4C" w:rsidR="00591B49" w:rsidRPr="00FE1186" w:rsidRDefault="00591B49" w:rsidP="006D6265">
      <w:pPr>
        <w:pStyle w:val="Testonotaapidipagina"/>
        <w:ind w:right="567"/>
        <w:jc w:val="both"/>
        <w:rPr>
          <w:rFonts w:ascii="Times New Roman" w:hAnsi="Times New Roman"/>
        </w:rPr>
      </w:pPr>
      <w:r w:rsidRPr="00C947BB">
        <w:rPr>
          <w:rStyle w:val="Rimandonotaapidipagina"/>
          <w:rFonts w:ascii="Times New Roman" w:hAnsi="Times New Roman"/>
        </w:rPr>
        <w:footnoteRef/>
      </w:r>
      <w:r w:rsidRPr="004E23B7">
        <w:rPr>
          <w:rFonts w:ascii="Times New Roman" w:hAnsi="Times New Roman"/>
          <w:lang w:val="en-US"/>
        </w:rPr>
        <w:t xml:space="preserve"> </w:t>
      </w:r>
      <w:r w:rsidRPr="004E23B7">
        <w:rPr>
          <w:rFonts w:ascii="Times New Roman" w:hAnsi="Times New Roman"/>
          <w:i/>
          <w:lang w:val="en-US"/>
        </w:rPr>
        <w:t>Az 1868-as nemzetiségi törvény</w:t>
      </w:r>
      <w:r w:rsidRPr="004E23B7">
        <w:rPr>
          <w:rFonts w:ascii="Times New Roman" w:hAnsi="Times New Roman"/>
          <w:lang w:val="en-US"/>
        </w:rPr>
        <w:t xml:space="preserve"> </w:t>
      </w:r>
      <w:r w:rsidRPr="00FE1186">
        <w:rPr>
          <w:rFonts w:ascii="Times New Roman" w:hAnsi="Times New Roman"/>
          <w:lang w:val="en-US"/>
        </w:rPr>
        <w:t>(1868: XLIV. tc.)</w:t>
      </w:r>
      <w:r>
        <w:rPr>
          <w:rFonts w:ascii="Times New Roman" w:hAnsi="Times New Roman"/>
          <w:lang w:val="en-US"/>
        </w:rPr>
        <w:t xml:space="preserve"> </w:t>
      </w:r>
      <w:r w:rsidRPr="00FE1186">
        <w:rPr>
          <w:rFonts w:ascii="Arial Narrow" w:hAnsi="Arial Narrow"/>
        </w:rPr>
        <w:t>[</w:t>
      </w:r>
      <w:r w:rsidRPr="00FE1186">
        <w:rPr>
          <w:rFonts w:ascii="Times New Roman" w:hAnsi="Times New Roman"/>
        </w:rPr>
        <w:t>La</w:t>
      </w:r>
      <w:r>
        <w:rPr>
          <w:rFonts w:ascii="Times New Roman" w:hAnsi="Times New Roman"/>
        </w:rPr>
        <w:t xml:space="preserve"> legge XLIV/1868 sulle </w:t>
      </w:r>
      <w:r w:rsidRPr="00FE1186">
        <w:rPr>
          <w:rFonts w:ascii="Times New Roman" w:hAnsi="Times New Roman"/>
        </w:rPr>
        <w:t>nazionalit</w:t>
      </w:r>
      <w:r>
        <w:rPr>
          <w:rFonts w:ascii="Times New Roman" w:hAnsi="Times New Roman"/>
        </w:rPr>
        <w:t>à</w:t>
      </w:r>
      <w:r>
        <w:rPr>
          <w:rFonts w:ascii="Arial Narrow" w:hAnsi="Arial Narrow"/>
        </w:rPr>
        <w:t>]</w:t>
      </w:r>
      <w:r w:rsidRPr="00FE1186">
        <w:rPr>
          <w:rFonts w:ascii="Times New Roman" w:hAnsi="Times New Roman"/>
        </w:rPr>
        <w:t xml:space="preserve">, in </w:t>
      </w:r>
      <w:r w:rsidRPr="00FE1186">
        <w:rPr>
          <w:rFonts w:ascii="Times New Roman" w:hAnsi="Times New Roman"/>
          <w:i/>
        </w:rPr>
        <w:t>Corpus Juris Hungaricis 1836-1868 évi törvénycikkek</w:t>
      </w:r>
      <w:r>
        <w:rPr>
          <w:rFonts w:ascii="Times New Roman" w:hAnsi="Times New Roman"/>
        </w:rPr>
        <w:t xml:space="preserve"> [Gli articoli di legge degli anni 1836-1868</w:t>
      </w:r>
      <w:r w:rsidRPr="00FE1186">
        <w:rPr>
          <w:rFonts w:ascii="Times New Roman" w:hAnsi="Times New Roman"/>
        </w:rPr>
        <w:t xml:space="preserve">], </w:t>
      </w:r>
      <w:r>
        <w:rPr>
          <w:rFonts w:ascii="Times New Roman" w:hAnsi="Times New Roman"/>
        </w:rPr>
        <w:t xml:space="preserve">Tipografia di Stato, </w:t>
      </w:r>
      <w:r w:rsidRPr="00FE1186">
        <w:rPr>
          <w:rFonts w:ascii="Times New Roman" w:hAnsi="Times New Roman"/>
        </w:rPr>
        <w:t>Budapest 1896, pp. 490-494, in particolare p. 490.</w:t>
      </w:r>
      <w:r>
        <w:rPr>
          <w:rFonts w:ascii="Times New Roman" w:hAnsi="Times New Roman"/>
        </w:rPr>
        <w:t xml:space="preserve"> </w:t>
      </w:r>
    </w:p>
  </w:footnote>
  <w:footnote w:id="80">
    <w:p w14:paraId="6CEAEE9B" w14:textId="6563C083" w:rsidR="00591B49" w:rsidRPr="008C48B9" w:rsidRDefault="00591B49" w:rsidP="006D6265">
      <w:pPr>
        <w:pStyle w:val="Testonotaapidipagina"/>
        <w:ind w:right="567"/>
        <w:jc w:val="both"/>
        <w:rPr>
          <w:rFonts w:ascii="Times New Roman" w:hAnsi="Times New Roman"/>
        </w:rPr>
      </w:pPr>
      <w:r w:rsidRPr="00FE1186">
        <w:rPr>
          <w:rStyle w:val="Rimandonotaapidipagina"/>
          <w:rFonts w:ascii="Times New Roman" w:hAnsi="Times New Roman"/>
        </w:rPr>
        <w:footnoteRef/>
      </w:r>
      <w:r w:rsidRPr="00FE1186">
        <w:rPr>
          <w:rFonts w:ascii="Times New Roman" w:hAnsi="Times New Roman"/>
        </w:rPr>
        <w:t xml:space="preserve"> Il barone Eötvös fu anche l’autore,</w:t>
      </w:r>
      <w:r>
        <w:rPr>
          <w:rFonts w:ascii="Times New Roman" w:hAnsi="Times New Roman"/>
        </w:rPr>
        <w:t xml:space="preserve"> in qualità di m</w:t>
      </w:r>
      <w:r w:rsidRPr="00C947BB">
        <w:rPr>
          <w:rFonts w:ascii="Times New Roman" w:hAnsi="Times New Roman"/>
        </w:rPr>
        <w:t>inistro del Culto e della Pubblica Istruzione, della legge di emancipazione dei sudditi di religione ebraica. Sul p</w:t>
      </w:r>
      <w:r>
        <w:rPr>
          <w:rFonts w:ascii="Times New Roman" w:hAnsi="Times New Roman"/>
        </w:rPr>
        <w:t xml:space="preserve">ensiero politico di </w:t>
      </w:r>
      <w:r w:rsidRPr="00C947BB">
        <w:rPr>
          <w:rFonts w:ascii="Times New Roman" w:hAnsi="Times New Roman"/>
        </w:rPr>
        <w:t>Eötvös in relazione alla questione nazionale in Ungheria,</w:t>
      </w:r>
      <w:r>
        <w:rPr>
          <w:rFonts w:ascii="Times New Roman" w:hAnsi="Times New Roman"/>
        </w:rPr>
        <w:t xml:space="preserve"> cfr.</w:t>
      </w:r>
      <w:r w:rsidRPr="00C947BB">
        <w:rPr>
          <w:rFonts w:ascii="Times New Roman" w:hAnsi="Times New Roman"/>
        </w:rPr>
        <w:t xml:space="preserve"> József Galántai, </w:t>
      </w:r>
      <w:r w:rsidRPr="00C947BB">
        <w:rPr>
          <w:rFonts w:ascii="Times New Roman" w:hAnsi="Times New Roman"/>
          <w:i/>
        </w:rPr>
        <w:t>Nemzet és kisebbség Eötvös József életművében</w:t>
      </w:r>
      <w:r w:rsidRPr="00C947BB">
        <w:rPr>
          <w:rFonts w:ascii="Times New Roman" w:hAnsi="Times New Roman"/>
        </w:rPr>
        <w:t xml:space="preserve"> [Nazione</w:t>
      </w:r>
      <w:r>
        <w:rPr>
          <w:rFonts w:ascii="Times New Roman" w:hAnsi="Times New Roman"/>
        </w:rPr>
        <w:t xml:space="preserve"> e minoranze nell’opera di József </w:t>
      </w:r>
      <w:r w:rsidRPr="00213306">
        <w:rPr>
          <w:rFonts w:ascii="Times New Roman" w:hAnsi="Times New Roman"/>
        </w:rPr>
        <w:t>Eötvös</w:t>
      </w:r>
      <w:r>
        <w:rPr>
          <w:rFonts w:ascii="Times New Roman" w:hAnsi="Times New Roman"/>
        </w:rPr>
        <w:t>], Korona kiadó, Budapest 1997.</w:t>
      </w:r>
    </w:p>
  </w:footnote>
  <w:footnote w:id="81">
    <w:p w14:paraId="32CA963C" w14:textId="70E051E6" w:rsidR="00591B49" w:rsidRPr="0046250E" w:rsidRDefault="00591B49" w:rsidP="0046250E">
      <w:pPr>
        <w:pStyle w:val="Testonotaapidipagina"/>
        <w:ind w:right="567"/>
        <w:jc w:val="both"/>
        <w:rPr>
          <w:rFonts w:ascii="Times New Roman" w:hAnsi="Times New Roman"/>
        </w:rPr>
      </w:pPr>
      <w:r w:rsidRPr="0046250E">
        <w:rPr>
          <w:rStyle w:val="Rimandonotaapidipagina"/>
          <w:rFonts w:ascii="Times New Roman" w:hAnsi="Times New Roman"/>
        </w:rPr>
        <w:footnoteRef/>
      </w:r>
      <w:r w:rsidRPr="0046250E">
        <w:rPr>
          <w:rFonts w:ascii="Times New Roman" w:hAnsi="Times New Roman"/>
        </w:rPr>
        <w:t xml:space="preserve"> Dal titolo del capitolo II dell’ottima monografia di Gábor Vermes, </w:t>
      </w:r>
      <w:r w:rsidRPr="0046250E">
        <w:rPr>
          <w:rFonts w:ascii="Times New Roman" w:hAnsi="Times New Roman"/>
          <w:i/>
        </w:rPr>
        <w:t>Tisza István</w:t>
      </w:r>
      <w:r w:rsidRPr="0046250E">
        <w:rPr>
          <w:rFonts w:ascii="Times New Roman" w:hAnsi="Times New Roman"/>
        </w:rPr>
        <w:t xml:space="preserve">, </w:t>
      </w:r>
      <w:r>
        <w:rPr>
          <w:rFonts w:ascii="Arial Narrow" w:hAnsi="Arial Narrow"/>
        </w:rPr>
        <w:t>[</w:t>
      </w:r>
      <w:r w:rsidRPr="00D239E9">
        <w:rPr>
          <w:rFonts w:ascii="Times New Roman" w:hAnsi="Times New Roman"/>
        </w:rPr>
        <w:t>István Tisza</w:t>
      </w:r>
      <w:r>
        <w:rPr>
          <w:rFonts w:ascii="Arial Narrow" w:hAnsi="Arial Narrow"/>
        </w:rPr>
        <w:t>]</w:t>
      </w:r>
      <w:r>
        <w:rPr>
          <w:rFonts w:ascii="Times New Roman" w:hAnsi="Times New Roman"/>
        </w:rPr>
        <w:t xml:space="preserve">, dedicato allo stile di governo del padre, </w:t>
      </w:r>
      <w:r w:rsidRPr="0046250E">
        <w:rPr>
          <w:rFonts w:ascii="Times New Roman" w:hAnsi="Times New Roman"/>
        </w:rPr>
        <w:t>Kálmán Tisza</w:t>
      </w:r>
      <w:r>
        <w:rPr>
          <w:rFonts w:ascii="Times New Roman" w:hAnsi="Times New Roman"/>
        </w:rPr>
        <w:t xml:space="preserve">. </w:t>
      </w:r>
      <w:r w:rsidRPr="0046250E">
        <w:rPr>
          <w:rFonts w:ascii="Times New Roman" w:hAnsi="Times New Roman"/>
        </w:rPr>
        <w:t xml:space="preserve">Osiris Kiadó, Budapest 2001, pp. 55-79.  </w:t>
      </w:r>
    </w:p>
  </w:footnote>
  <w:footnote w:id="82">
    <w:p w14:paraId="40206285" w14:textId="046D5E03" w:rsidR="00591B49" w:rsidRPr="00D8148A" w:rsidRDefault="00591B49" w:rsidP="00D8148A">
      <w:pPr>
        <w:pStyle w:val="Testonotaapidipagina"/>
        <w:ind w:right="567"/>
        <w:jc w:val="both"/>
        <w:rPr>
          <w:rFonts w:ascii="Times New Roman" w:hAnsi="Times New Roman"/>
        </w:rPr>
      </w:pPr>
      <w:r>
        <w:rPr>
          <w:rStyle w:val="Rimandonotaapidipagina"/>
        </w:rPr>
        <w:footnoteRef/>
      </w:r>
      <w:r>
        <w:t xml:space="preserve"> </w:t>
      </w:r>
      <w:r w:rsidRPr="00D8148A">
        <w:rPr>
          <w:rFonts w:ascii="Times New Roman" w:hAnsi="Times New Roman"/>
        </w:rPr>
        <w:t>Sul sistema politico ungherese</w:t>
      </w:r>
      <w:r>
        <w:rPr>
          <w:rFonts w:ascii="Times New Roman" w:hAnsi="Times New Roman"/>
        </w:rPr>
        <w:t xml:space="preserve"> </w:t>
      </w:r>
      <w:r w:rsidRPr="00D8148A">
        <w:rPr>
          <w:rFonts w:ascii="Times New Roman" w:hAnsi="Times New Roman"/>
        </w:rPr>
        <w:t>nella lunga crisi liberale</w:t>
      </w:r>
      <w:r>
        <w:rPr>
          <w:rFonts w:ascii="Times New Roman" w:hAnsi="Times New Roman"/>
        </w:rPr>
        <w:t xml:space="preserve"> degli anni 1899-1910</w:t>
      </w:r>
      <w:r w:rsidRPr="00D8148A">
        <w:rPr>
          <w:rFonts w:ascii="Times New Roman" w:hAnsi="Times New Roman"/>
        </w:rPr>
        <w:t xml:space="preserve"> v. Ferenc Pölöskei, </w:t>
      </w:r>
      <w:r w:rsidRPr="00D8148A">
        <w:rPr>
          <w:rFonts w:ascii="Times New Roman" w:hAnsi="Times New Roman"/>
          <w:i/>
        </w:rPr>
        <w:t>A magyar parlamentarizmus a századfordulón</w:t>
      </w:r>
      <w:r w:rsidRPr="00D8148A">
        <w:rPr>
          <w:rFonts w:ascii="Times New Roman" w:hAnsi="Times New Roman"/>
        </w:rPr>
        <w:t xml:space="preserve"> [Il sistema parlamentare ungherese alla svolta del secolo]</w:t>
      </w:r>
      <w:r>
        <w:rPr>
          <w:rFonts w:ascii="Times New Roman" w:hAnsi="Times New Roman"/>
        </w:rPr>
        <w:t xml:space="preserve">, MTA </w:t>
      </w:r>
      <w:r w:rsidRPr="00D8148A">
        <w:rPr>
          <w:rFonts w:ascii="Times New Roman" w:hAnsi="Times New Roman"/>
        </w:rPr>
        <w:t>Történettudományi Intézet</w:t>
      </w:r>
      <w:r>
        <w:rPr>
          <w:rFonts w:ascii="Times New Roman" w:hAnsi="Times New Roman"/>
        </w:rPr>
        <w:t xml:space="preserve"> </w:t>
      </w:r>
      <w:r>
        <w:rPr>
          <w:rFonts w:ascii="Arial Narrow" w:hAnsi="Arial Narrow"/>
        </w:rPr>
        <w:t>[</w:t>
      </w:r>
      <w:r>
        <w:rPr>
          <w:rFonts w:ascii="Times New Roman" w:hAnsi="Times New Roman"/>
        </w:rPr>
        <w:t>Istituto di Scienze storiche dell</w:t>
      </w:r>
      <w:r w:rsidRPr="00D8148A">
        <w:rPr>
          <w:rFonts w:ascii="Times New Roman" w:hAnsi="Times New Roman"/>
        </w:rPr>
        <w:t>’Accademia ungherese delle Scienze</w:t>
      </w:r>
      <w:r>
        <w:rPr>
          <w:rFonts w:ascii="Arial Narrow" w:hAnsi="Arial Narrow"/>
        </w:rPr>
        <w:t xml:space="preserve">], </w:t>
      </w:r>
      <w:r>
        <w:rPr>
          <w:rFonts w:ascii="Times New Roman" w:hAnsi="Times New Roman"/>
        </w:rPr>
        <w:t>Budapest 2001.</w:t>
      </w:r>
      <w:r w:rsidRPr="00D8148A">
        <w:rPr>
          <w:rFonts w:ascii="Times New Roman" w:hAnsi="Times New Roman"/>
        </w:rPr>
        <w:t xml:space="preserve"> </w:t>
      </w:r>
    </w:p>
  </w:footnote>
  <w:footnote w:id="83">
    <w:p w14:paraId="0BD0AA72" w14:textId="77777777" w:rsidR="00591B49" w:rsidRPr="00A85E65" w:rsidRDefault="00591B49" w:rsidP="00A85E65">
      <w:pPr>
        <w:pStyle w:val="Testonotaapidipagina"/>
        <w:ind w:right="567"/>
        <w:jc w:val="both"/>
        <w:rPr>
          <w:rFonts w:ascii="Times New Roman" w:hAnsi="Times New Roman"/>
        </w:rPr>
      </w:pPr>
      <w:r w:rsidRPr="00A85E65">
        <w:rPr>
          <w:rStyle w:val="Rimandonotaapidipagina"/>
          <w:rFonts w:ascii="Times New Roman" w:hAnsi="Times New Roman"/>
        </w:rPr>
        <w:footnoteRef/>
      </w:r>
      <w:r w:rsidRPr="00A85E65">
        <w:rPr>
          <w:rFonts w:ascii="Times New Roman" w:hAnsi="Times New Roman"/>
        </w:rPr>
        <w:t xml:space="preserve"> </w:t>
      </w:r>
      <w:r>
        <w:rPr>
          <w:rFonts w:ascii="Times New Roman" w:hAnsi="Times New Roman"/>
        </w:rPr>
        <w:t xml:space="preserve">Sulla corruzione </w:t>
      </w:r>
      <w:r w:rsidRPr="00A85E65">
        <w:rPr>
          <w:rFonts w:ascii="Times New Roman" w:hAnsi="Times New Roman"/>
        </w:rPr>
        <w:t>qual</w:t>
      </w:r>
      <w:r>
        <w:rPr>
          <w:rFonts w:ascii="Times New Roman" w:hAnsi="Times New Roman"/>
        </w:rPr>
        <w:t>e prassi politica</w:t>
      </w:r>
      <w:r w:rsidRPr="00A85E65">
        <w:rPr>
          <w:rFonts w:ascii="Times New Roman" w:hAnsi="Times New Roman"/>
        </w:rPr>
        <w:t xml:space="preserve"> in Transleithania si veda il recente saggio di András Cieger, </w:t>
      </w:r>
      <w:r w:rsidRPr="00A85E65">
        <w:rPr>
          <w:rFonts w:ascii="Times New Roman" w:hAnsi="Times New Roman"/>
          <w:i/>
        </w:rPr>
        <w:t>Politikai korrupció a Monarchia Magyarországon 1867-1918</w:t>
      </w:r>
      <w:r w:rsidRPr="00A85E65">
        <w:rPr>
          <w:rFonts w:ascii="Times New Roman" w:hAnsi="Times New Roman"/>
        </w:rPr>
        <w:t xml:space="preserve">, </w:t>
      </w:r>
      <w:r>
        <w:rPr>
          <w:rFonts w:ascii="Arial Narrow" w:hAnsi="Arial Narrow"/>
        </w:rPr>
        <w:t>[</w:t>
      </w:r>
      <w:r>
        <w:rPr>
          <w:rFonts w:ascii="Times New Roman" w:hAnsi="Times New Roman"/>
        </w:rPr>
        <w:t>la corruzione politica nell’Ungheria dualistica</w:t>
      </w:r>
      <w:r>
        <w:rPr>
          <w:rFonts w:ascii="Arial Narrow" w:hAnsi="Arial Narrow"/>
        </w:rPr>
        <w:t>]</w:t>
      </w:r>
      <w:r>
        <w:rPr>
          <w:rFonts w:ascii="Times New Roman" w:hAnsi="Times New Roman"/>
        </w:rPr>
        <w:t xml:space="preserve">, </w:t>
      </w:r>
      <w:r w:rsidRPr="00A85E65">
        <w:rPr>
          <w:rFonts w:ascii="Times New Roman" w:hAnsi="Times New Roman"/>
        </w:rPr>
        <w:t xml:space="preserve">Napvilág kiadó, Budapest 2011.  </w:t>
      </w:r>
    </w:p>
  </w:footnote>
  <w:footnote w:id="84">
    <w:p w14:paraId="3B717556" w14:textId="5936F2B5" w:rsidR="00591B49" w:rsidRPr="00D73FD8" w:rsidRDefault="00591B49" w:rsidP="009E61DE">
      <w:pPr>
        <w:pStyle w:val="Testonotaapidipagina"/>
        <w:spacing w:before="100" w:beforeAutospacing="1" w:after="100" w:afterAutospacing="1"/>
        <w:ind w:right="567"/>
        <w:jc w:val="both"/>
        <w:rPr>
          <w:rFonts w:ascii="Times New Roman" w:hAnsi="Times New Roman"/>
        </w:rPr>
      </w:pPr>
      <w:r>
        <w:rPr>
          <w:rStyle w:val="Rimandonotaapidipagina"/>
        </w:rPr>
        <w:footnoteRef/>
      </w:r>
      <w:r>
        <w:t xml:space="preserve"> </w:t>
      </w:r>
      <w:r w:rsidRPr="009E61DE">
        <w:rPr>
          <w:rFonts w:ascii="Times New Roman" w:hAnsi="Times New Roman"/>
        </w:rPr>
        <w:t>Il conte Mihály Károlyi</w:t>
      </w:r>
      <w:r>
        <w:rPr>
          <w:rFonts w:ascii="Times New Roman" w:hAnsi="Times New Roman"/>
        </w:rPr>
        <w:t xml:space="preserve"> (1875-1955)</w:t>
      </w:r>
      <w:r w:rsidRPr="009E61DE">
        <w:rPr>
          <w:rFonts w:ascii="Times New Roman" w:hAnsi="Times New Roman"/>
        </w:rPr>
        <w:t>, membro di una famiglia magnatizia celebre per la sua tradizione anti-asburgica, si convertì al credo democratico e d</w:t>
      </w:r>
      <w:r>
        <w:rPr>
          <w:rFonts w:ascii="Times New Roman" w:hAnsi="Times New Roman"/>
        </w:rPr>
        <w:t>ivenne il più coerente fautore del ripudio del Dualismo e della</w:t>
      </w:r>
      <w:r w:rsidRPr="009E61DE">
        <w:rPr>
          <w:rFonts w:ascii="Times New Roman" w:hAnsi="Times New Roman"/>
        </w:rPr>
        <w:t xml:space="preserve"> trasformazione democratica dell’Ungheri</w:t>
      </w:r>
      <w:r>
        <w:rPr>
          <w:rFonts w:ascii="Times New Roman" w:hAnsi="Times New Roman"/>
        </w:rPr>
        <w:t>a. Alla fine di ottobre 1918 divenne il P</w:t>
      </w:r>
      <w:r w:rsidRPr="009E61DE">
        <w:rPr>
          <w:rFonts w:ascii="Times New Roman" w:hAnsi="Times New Roman"/>
        </w:rPr>
        <w:t>residen</w:t>
      </w:r>
      <w:r>
        <w:rPr>
          <w:rFonts w:ascii="Times New Roman" w:hAnsi="Times New Roman"/>
        </w:rPr>
        <w:t>te del Consiglio della R</w:t>
      </w:r>
      <w:r w:rsidRPr="009E61DE">
        <w:rPr>
          <w:rFonts w:ascii="Times New Roman" w:hAnsi="Times New Roman"/>
        </w:rPr>
        <w:t>ep</w:t>
      </w:r>
      <w:r>
        <w:rPr>
          <w:rFonts w:ascii="Times New Roman" w:hAnsi="Times New Roman"/>
        </w:rPr>
        <w:t xml:space="preserve">ubblica ungherese, nata dalla sconfitta e dalla rivoluzione. </w:t>
      </w:r>
      <w:r w:rsidRPr="00D73FD8">
        <w:rPr>
          <w:rFonts w:ascii="Times New Roman" w:hAnsi="Times New Roman"/>
        </w:rPr>
        <w:t xml:space="preserve">Tibor Hajdu, </w:t>
      </w:r>
      <w:r w:rsidRPr="00D73FD8">
        <w:rPr>
          <w:rFonts w:ascii="Times New Roman" w:hAnsi="Times New Roman"/>
          <w:i/>
        </w:rPr>
        <w:t>Ki volt Károlyi Mihályi</w:t>
      </w:r>
      <w:r w:rsidRPr="00200B12">
        <w:rPr>
          <w:rFonts w:ascii="Times New Roman" w:hAnsi="Times New Roman"/>
          <w:i/>
        </w:rPr>
        <w:t>?</w:t>
      </w:r>
      <w:r w:rsidRPr="00200B12">
        <w:rPr>
          <w:rFonts w:ascii="Times New Roman" w:hAnsi="Times New Roman"/>
        </w:rPr>
        <w:t>[Chi fu Mihály Károlyi?],</w:t>
      </w:r>
      <w:r w:rsidRPr="00D73FD8">
        <w:rPr>
          <w:rFonts w:ascii="Times New Roman" w:hAnsi="Times New Roman"/>
        </w:rPr>
        <w:t xml:space="preserve"> Napvilág Kiadó, Budapest 2012. </w:t>
      </w:r>
    </w:p>
  </w:footnote>
  <w:footnote w:id="85">
    <w:p w14:paraId="0F348AC5" w14:textId="65473B0F" w:rsidR="00591B49" w:rsidRPr="00007E93" w:rsidRDefault="00591B49" w:rsidP="00007E93">
      <w:pPr>
        <w:pStyle w:val="Testonotaapidipagina"/>
        <w:ind w:right="567"/>
        <w:jc w:val="both"/>
        <w:rPr>
          <w:rFonts w:ascii="Times New Roman" w:hAnsi="Times New Roman"/>
          <w:lang w:val="en-US"/>
        </w:rPr>
      </w:pPr>
      <w:r w:rsidRPr="00007E93">
        <w:rPr>
          <w:rStyle w:val="Rimandonotaapidipagina"/>
          <w:rFonts w:ascii="Times New Roman" w:hAnsi="Times New Roman"/>
        </w:rPr>
        <w:footnoteRef/>
      </w:r>
      <w:r w:rsidRPr="00007E93">
        <w:rPr>
          <w:rFonts w:ascii="Times New Roman" w:hAnsi="Times New Roman"/>
        </w:rPr>
        <w:t xml:space="preserve"> Sulla ‘zona del destino’ della politica estera austro-ungarica v. la recente raccolta di saggi di Gá</w:t>
      </w:r>
      <w:r>
        <w:rPr>
          <w:rFonts w:ascii="Times New Roman" w:hAnsi="Times New Roman"/>
        </w:rPr>
        <w:t>bor Demeter nel volume</w:t>
      </w:r>
      <w:r w:rsidRPr="00007E93">
        <w:rPr>
          <w:rFonts w:ascii="Times New Roman" w:hAnsi="Times New Roman"/>
        </w:rPr>
        <w:t xml:space="preserve"> </w:t>
      </w:r>
      <w:r w:rsidRPr="00007E93">
        <w:rPr>
          <w:rFonts w:ascii="Times New Roman" w:hAnsi="Times New Roman"/>
          <w:i/>
        </w:rPr>
        <w:t>Diplomatic Struggle for Supremacy over the Balkan Peninsula 1878-1918</w:t>
      </w:r>
      <w:r w:rsidRPr="00007E93">
        <w:rPr>
          <w:rFonts w:ascii="Times New Roman" w:hAnsi="Times New Roman"/>
        </w:rPr>
        <w:t>, Institute for Historical Studies BAS, Sofia 2017.</w:t>
      </w:r>
      <w:r>
        <w:rPr>
          <w:rFonts w:ascii="Times New Roman" w:hAnsi="Times New Roman"/>
        </w:rPr>
        <w:t xml:space="preserve"> </w:t>
      </w:r>
      <w:r w:rsidRPr="00007E93">
        <w:rPr>
          <w:rFonts w:ascii="Times New Roman" w:hAnsi="Times New Roman"/>
          <w:lang w:val="en-US"/>
        </w:rPr>
        <w:t xml:space="preserve">In </w:t>
      </w:r>
      <w:r>
        <w:rPr>
          <w:rFonts w:ascii="Times New Roman" w:hAnsi="Times New Roman"/>
          <w:lang w:val="en-US"/>
        </w:rPr>
        <w:t>particolare il saggio</w:t>
      </w:r>
      <w:r w:rsidRPr="00007E93">
        <w:rPr>
          <w:rFonts w:ascii="Times New Roman" w:hAnsi="Times New Roman"/>
          <w:lang w:val="en-US"/>
        </w:rPr>
        <w:t xml:space="preserve"> </w:t>
      </w:r>
      <w:r w:rsidRPr="00007E93">
        <w:rPr>
          <w:rFonts w:ascii="Times New Roman" w:hAnsi="Times New Roman"/>
          <w:i/>
          <w:lang w:val="en-US"/>
        </w:rPr>
        <w:t>Count Andrássy and the Attitude of Austria-Hungary during the Great Eastern Crisis of 1875-1878</w:t>
      </w:r>
      <w:r w:rsidRPr="00007E93">
        <w:rPr>
          <w:rFonts w:ascii="Times New Roman" w:hAnsi="Times New Roman"/>
          <w:lang w:val="en-US"/>
        </w:rPr>
        <w:t xml:space="preserve">, pp. </w:t>
      </w:r>
      <w:r>
        <w:rPr>
          <w:rFonts w:ascii="Times New Roman" w:hAnsi="Times New Roman"/>
          <w:lang w:val="en-US"/>
        </w:rPr>
        <w:t>13-38.</w:t>
      </w:r>
    </w:p>
  </w:footnote>
  <w:footnote w:id="86">
    <w:p w14:paraId="6DB73F61" w14:textId="77777777" w:rsidR="00591B49" w:rsidRPr="00BE2067" w:rsidRDefault="00591B49" w:rsidP="00007E93">
      <w:pPr>
        <w:spacing w:before="100" w:beforeAutospacing="1" w:after="100" w:afterAutospacing="1" w:line="240" w:lineRule="auto"/>
        <w:ind w:right="567"/>
        <w:jc w:val="both"/>
        <w:rPr>
          <w:rFonts w:ascii="Times New Roman" w:hAnsi="Times New Roman"/>
          <w:sz w:val="20"/>
          <w:szCs w:val="20"/>
          <w:lang w:val="en-US"/>
        </w:rPr>
      </w:pPr>
      <w:r>
        <w:rPr>
          <w:rStyle w:val="Rimandonotaapidipagina"/>
        </w:rPr>
        <w:footnoteRef/>
      </w:r>
      <w:r w:rsidRPr="00BE2067">
        <w:rPr>
          <w:lang w:val="en-US"/>
        </w:rPr>
        <w:t xml:space="preserve"> </w:t>
      </w:r>
      <w:r w:rsidRPr="00BE2067">
        <w:rPr>
          <w:rFonts w:ascii="Times New Roman" w:hAnsi="Times New Roman"/>
          <w:sz w:val="20"/>
          <w:szCs w:val="20"/>
          <w:lang w:val="en-US"/>
        </w:rPr>
        <w:t xml:space="preserve">Srečko M. Džaja, </w:t>
      </w:r>
      <w:r w:rsidRPr="00BE2067">
        <w:rPr>
          <w:rFonts w:ascii="Times New Roman" w:hAnsi="Times New Roman"/>
          <w:i/>
          <w:sz w:val="20"/>
          <w:szCs w:val="20"/>
          <w:lang w:val="en-US"/>
        </w:rPr>
        <w:t>Bosnien-Herzegowina in der österreichisch-ungarischen Epoche (1878-1918</w:t>
      </w:r>
      <w:r w:rsidRPr="00BE2067">
        <w:rPr>
          <w:rFonts w:ascii="Times New Roman" w:hAnsi="Times New Roman"/>
          <w:sz w:val="20"/>
          <w:szCs w:val="20"/>
          <w:lang w:val="en-US"/>
        </w:rPr>
        <w:t>), [La Bosnia-Erzegovina nell’epoca austro-ungarica 1878-1918], R. Oldenbourg Verlag, München 1994.</w:t>
      </w:r>
    </w:p>
    <w:p w14:paraId="5E417AC3" w14:textId="1817678E" w:rsidR="00591B49" w:rsidRPr="00BE2067" w:rsidRDefault="00591B49">
      <w:pPr>
        <w:pStyle w:val="Testonotaapidipagina"/>
        <w:rPr>
          <w:lang w:val="en-US"/>
        </w:rPr>
      </w:pPr>
    </w:p>
  </w:footnote>
  <w:footnote w:id="87">
    <w:p w14:paraId="5FADDCFA" w14:textId="3F7643AF" w:rsidR="00591B49" w:rsidRPr="003A1A6C" w:rsidRDefault="00591B49" w:rsidP="006803EB">
      <w:pPr>
        <w:pStyle w:val="Testonotaapidipagina"/>
        <w:ind w:right="567"/>
        <w:jc w:val="both"/>
        <w:rPr>
          <w:rFonts w:ascii="Times New Roman" w:hAnsi="Times New Roman"/>
          <w:lang w:val="en-US"/>
        </w:rPr>
      </w:pPr>
      <w:r>
        <w:rPr>
          <w:rStyle w:val="Rimandonotaapidipagina"/>
        </w:rPr>
        <w:footnoteRef/>
      </w:r>
      <w:r>
        <w:t xml:space="preserve"> </w:t>
      </w:r>
      <w:r w:rsidRPr="003A1A6C">
        <w:rPr>
          <w:rFonts w:ascii="Times New Roman" w:hAnsi="Times New Roman"/>
        </w:rPr>
        <w:t xml:space="preserve">Il barone Bénjamin (Béni) Kállay, esperto di finanze, fu per lungo tempo il proconsole imperiale e regio in Bosnia. Sulla sua opera Károly Dán, </w:t>
      </w:r>
      <w:r w:rsidRPr="003A1A6C">
        <w:rPr>
          <w:rFonts w:ascii="Times New Roman" w:hAnsi="Times New Roman"/>
          <w:i/>
        </w:rPr>
        <w:t>Kállay Béni és a magyar imperializmus. Egy bátortalan kiserlet maradványai</w:t>
      </w:r>
      <w:r w:rsidRPr="003A1A6C">
        <w:rPr>
          <w:rFonts w:ascii="Times New Roman" w:hAnsi="Times New Roman"/>
        </w:rPr>
        <w:t xml:space="preserve">, </w:t>
      </w:r>
      <w:r>
        <w:rPr>
          <w:rFonts w:ascii="Arial Narrow" w:hAnsi="Arial Narrow"/>
        </w:rPr>
        <w:t>[</w:t>
      </w:r>
      <w:r w:rsidRPr="003A1A6C">
        <w:rPr>
          <w:rFonts w:ascii="Times New Roman" w:hAnsi="Times New Roman"/>
        </w:rPr>
        <w:t>B. Kállay</w:t>
      </w:r>
      <w:r>
        <w:rPr>
          <w:rFonts w:ascii="Times New Roman" w:hAnsi="Times New Roman"/>
        </w:rPr>
        <w:t xml:space="preserve"> e l’imperialismo ungherese. Le vestigia di un cauteloso esperimento</w:t>
      </w:r>
      <w:r>
        <w:rPr>
          <w:rFonts w:ascii="Arial Narrow" w:hAnsi="Arial Narrow"/>
        </w:rPr>
        <w:t>],</w:t>
      </w:r>
      <w:r>
        <w:rPr>
          <w:rFonts w:ascii="Times New Roman" w:hAnsi="Times New Roman"/>
        </w:rPr>
        <w:t xml:space="preserve"> </w:t>
      </w:r>
      <w:r w:rsidRPr="003A1A6C">
        <w:rPr>
          <w:rFonts w:ascii="Times New Roman" w:hAnsi="Times New Roman"/>
        </w:rPr>
        <w:t xml:space="preserve">in “Aetas”, N. 15 (1-2), 2000, pp. 220-249. </w:t>
      </w:r>
      <w:r w:rsidRPr="003A1A6C">
        <w:rPr>
          <w:rFonts w:ascii="Times New Roman" w:hAnsi="Times New Roman"/>
          <w:lang w:val="en-US"/>
        </w:rPr>
        <w:t xml:space="preserve">Più in generale, Jan J. Armour, </w:t>
      </w:r>
      <w:r w:rsidRPr="003A1A6C">
        <w:rPr>
          <w:rFonts w:ascii="Times New Roman" w:hAnsi="Times New Roman"/>
          <w:i/>
          <w:lang w:val="en-US"/>
        </w:rPr>
        <w:t>Apple of Discord: the ‘Hungarian Factor’ in Austro-Serbian Relations 1867-1881</w:t>
      </w:r>
      <w:r>
        <w:rPr>
          <w:rFonts w:ascii="Times New Roman" w:hAnsi="Times New Roman"/>
          <w:lang w:val="en-US"/>
        </w:rPr>
        <w:t xml:space="preserve">, Purdue University Press, West Lafayette (Indiana) 2014. </w:t>
      </w:r>
    </w:p>
  </w:footnote>
  <w:footnote w:id="88">
    <w:p w14:paraId="2EE0C37B" w14:textId="78AF6607" w:rsidR="00591B49" w:rsidRPr="00986F4F" w:rsidRDefault="00591B49" w:rsidP="005932F2">
      <w:pPr>
        <w:pStyle w:val="Testonotaapidipagina"/>
        <w:ind w:right="567"/>
        <w:jc w:val="both"/>
      </w:pPr>
      <w:r>
        <w:rPr>
          <w:rStyle w:val="Rimandonotaapidipagina"/>
        </w:rPr>
        <w:footnoteRef/>
      </w:r>
      <w:r w:rsidRPr="00B14129">
        <w:t xml:space="preserve"> </w:t>
      </w:r>
      <w:r w:rsidRPr="00B14129">
        <w:rPr>
          <w:rFonts w:ascii="Times New Roman" w:hAnsi="Times New Roman"/>
        </w:rPr>
        <w:t>Lo sfogo di Conrad non teneva conto della complessità della situazione, e del</w:t>
      </w:r>
      <w:r>
        <w:rPr>
          <w:rFonts w:ascii="Times New Roman" w:hAnsi="Times New Roman"/>
        </w:rPr>
        <w:t>l’</w:t>
      </w:r>
      <w:r w:rsidRPr="00B14129">
        <w:rPr>
          <w:rFonts w:ascii="Times New Roman" w:hAnsi="Times New Roman"/>
        </w:rPr>
        <w:t>impreparazione dell’esercito austro-ungarico</w:t>
      </w:r>
      <w:r>
        <w:rPr>
          <w:rFonts w:ascii="Times New Roman" w:hAnsi="Times New Roman"/>
        </w:rPr>
        <w:t xml:space="preserve"> per un intervento armato nella crisi balcanica.</w:t>
      </w:r>
      <w:r w:rsidRPr="00B14129">
        <w:rPr>
          <w:rFonts w:ascii="Times New Roman" w:hAnsi="Times New Roman"/>
        </w:rPr>
        <w:t xml:space="preserve"> </w:t>
      </w:r>
      <w:r w:rsidRPr="00BE2067">
        <w:rPr>
          <w:rFonts w:ascii="Times New Roman" w:hAnsi="Times New Roman"/>
          <w:lang w:val="en-US"/>
        </w:rPr>
        <w:t xml:space="preserve">Gábor Demeter, </w:t>
      </w:r>
      <w:r w:rsidRPr="00BE2067">
        <w:rPr>
          <w:rFonts w:ascii="Times New Roman" w:hAnsi="Times New Roman"/>
          <w:i/>
          <w:lang w:val="en-US"/>
        </w:rPr>
        <w:t xml:space="preserve">Hesitation, Indecision or Astuteness? </w:t>
      </w:r>
      <w:r w:rsidRPr="005932F2">
        <w:rPr>
          <w:rFonts w:ascii="Times New Roman" w:hAnsi="Times New Roman"/>
          <w:i/>
          <w:lang w:val="en-US"/>
        </w:rPr>
        <w:t>The Foreign Policy of Austria-Hungary in 1912-13. Based on the Diary of Ludwig von Thallóczy</w:t>
      </w:r>
      <w:r w:rsidRPr="005932F2">
        <w:rPr>
          <w:rFonts w:ascii="Times New Roman" w:hAnsi="Times New Roman"/>
          <w:lang w:val="en-US"/>
        </w:rPr>
        <w:t>, in</w:t>
      </w:r>
      <w:r>
        <w:rPr>
          <w:rFonts w:ascii="Times New Roman" w:hAnsi="Times New Roman"/>
          <w:lang w:val="en-US"/>
        </w:rPr>
        <w:t xml:space="preserve"> </w:t>
      </w:r>
      <w:r w:rsidRPr="005932F2">
        <w:rPr>
          <w:rFonts w:ascii="Times New Roman" w:hAnsi="Times New Roman"/>
          <w:i/>
          <w:lang w:val="en-US"/>
        </w:rPr>
        <w:t>Diplomatic Struggle for Supremacy over the Balkan Peninsula 1878-1918</w:t>
      </w:r>
      <w:r w:rsidRPr="005932F2">
        <w:rPr>
          <w:rFonts w:ascii="Times New Roman" w:hAnsi="Times New Roman"/>
          <w:lang w:val="en-US"/>
        </w:rPr>
        <w:t>, Institute for Histori</w:t>
      </w:r>
      <w:r>
        <w:rPr>
          <w:rFonts w:ascii="Times New Roman" w:hAnsi="Times New Roman"/>
          <w:lang w:val="en-US"/>
        </w:rPr>
        <w:t>cal Studies BAS, Sofia 2017, pp. 139-154.</w:t>
      </w:r>
      <w:r w:rsidR="00986F4F">
        <w:rPr>
          <w:rFonts w:ascii="Times New Roman" w:hAnsi="Times New Roman"/>
          <w:lang w:val="en-US"/>
        </w:rPr>
        <w:t xml:space="preserve"> </w:t>
      </w:r>
      <w:r w:rsidR="00986F4F">
        <w:rPr>
          <w:rFonts w:ascii="Times New Roman" w:hAnsi="Times New Roman"/>
        </w:rPr>
        <w:t xml:space="preserve">Sulla figura e il ruolo di </w:t>
      </w:r>
      <w:r w:rsidR="00986F4F" w:rsidRPr="00986F4F">
        <w:rPr>
          <w:rFonts w:ascii="Times New Roman" w:hAnsi="Times New Roman"/>
        </w:rPr>
        <w:t>Conrad</w:t>
      </w:r>
      <w:r w:rsidR="00986F4F">
        <w:rPr>
          <w:rFonts w:ascii="Times New Roman" w:hAnsi="Times New Roman"/>
        </w:rPr>
        <w:t xml:space="preserve"> si veda</w:t>
      </w:r>
      <w:r w:rsidR="00986F4F" w:rsidRPr="00986F4F">
        <w:rPr>
          <w:rFonts w:ascii="Times New Roman" w:hAnsi="Times New Roman"/>
        </w:rPr>
        <w:t xml:space="preserve"> Lawrence Sondhaus, </w:t>
      </w:r>
      <w:r w:rsidR="00986F4F" w:rsidRPr="00986F4F">
        <w:rPr>
          <w:rFonts w:ascii="Times New Roman" w:hAnsi="Times New Roman"/>
          <w:i/>
        </w:rPr>
        <w:t xml:space="preserve">Franz Conrad von Hotzendorf. </w:t>
      </w:r>
      <w:r w:rsidR="00986F4F" w:rsidRPr="0094130C">
        <w:rPr>
          <w:rFonts w:ascii="Times New Roman" w:hAnsi="Times New Roman"/>
          <w:i/>
        </w:rPr>
        <w:t>Architect of the Apocalypse</w:t>
      </w:r>
      <w:r w:rsidR="00986F4F" w:rsidRPr="0094130C">
        <w:rPr>
          <w:rFonts w:ascii="Times New Roman" w:hAnsi="Times New Roman"/>
        </w:rPr>
        <w:t xml:space="preserve">, Humanities Press, Boston-Leiden-Cologne 2000. </w:t>
      </w:r>
      <w:r w:rsidR="00986F4F" w:rsidRPr="003876CA">
        <w:rPr>
          <w:rFonts w:ascii="Times New Roman" w:hAnsi="Times New Roman"/>
        </w:rPr>
        <w:t xml:space="preserve">La </w:t>
      </w:r>
      <w:r w:rsidR="00986F4F">
        <w:rPr>
          <w:rFonts w:ascii="Times New Roman" w:hAnsi="Times New Roman"/>
        </w:rPr>
        <w:t>versione italiana</w:t>
      </w:r>
      <w:r w:rsidR="00411542">
        <w:rPr>
          <w:rFonts w:ascii="Times New Roman" w:hAnsi="Times New Roman"/>
        </w:rPr>
        <w:t xml:space="preserve"> uscì</w:t>
      </w:r>
      <w:r w:rsidR="00986F4F">
        <w:rPr>
          <w:rFonts w:ascii="Times New Roman" w:hAnsi="Times New Roman"/>
        </w:rPr>
        <w:t xml:space="preserve"> del 2003,</w:t>
      </w:r>
      <w:r w:rsidR="00411542">
        <w:rPr>
          <w:rFonts w:ascii="Times New Roman" w:hAnsi="Times New Roman"/>
        </w:rPr>
        <w:t xml:space="preserve"> a cura de</w:t>
      </w:r>
      <w:r w:rsidR="00986F4F" w:rsidRPr="003876CA">
        <w:rPr>
          <w:rFonts w:ascii="Times New Roman" w:hAnsi="Times New Roman"/>
        </w:rPr>
        <w:t>lla Libreria Editrice Goriziana</w:t>
      </w:r>
      <w:r w:rsidR="00986F4F">
        <w:rPr>
          <w:rFonts w:ascii="Times New Roman" w:hAnsi="Times New Roman"/>
        </w:rPr>
        <w:t xml:space="preserve">    </w:t>
      </w:r>
      <w:r w:rsidR="00986F4F" w:rsidRPr="003876CA">
        <w:rPr>
          <w:rFonts w:ascii="Times New Roman" w:hAnsi="Times New Roman"/>
        </w:rPr>
        <w:t xml:space="preserve"> </w:t>
      </w:r>
      <w:r w:rsidRPr="00986F4F">
        <w:rPr>
          <w:rFonts w:ascii="Times New Roman" w:hAnsi="Times New Roman"/>
        </w:rPr>
        <w:t xml:space="preserve"> </w:t>
      </w:r>
      <w:r w:rsidRPr="00986F4F">
        <w:t xml:space="preserve"> </w:t>
      </w:r>
    </w:p>
  </w:footnote>
  <w:footnote w:id="89">
    <w:p w14:paraId="3E35AC2B" w14:textId="2F4FD646" w:rsidR="00591B49" w:rsidRPr="00051E50" w:rsidRDefault="00591B49" w:rsidP="00FB5166">
      <w:pPr>
        <w:pStyle w:val="Testonotaapidipagina"/>
        <w:ind w:right="567"/>
        <w:jc w:val="both"/>
        <w:rPr>
          <w:rFonts w:ascii="Times New Roman" w:hAnsi="Times New Roman"/>
        </w:rPr>
      </w:pPr>
      <w:r w:rsidRPr="00FB5166">
        <w:rPr>
          <w:rStyle w:val="Rimandonotaapidipagina"/>
          <w:rFonts w:ascii="Times New Roman" w:hAnsi="Times New Roman"/>
        </w:rPr>
        <w:footnoteRef/>
      </w:r>
      <w:r w:rsidRPr="00FB5166">
        <w:rPr>
          <w:rFonts w:ascii="Times New Roman" w:hAnsi="Times New Roman"/>
        </w:rPr>
        <w:t xml:space="preserve"> La storiografia ungherese del nuovo millennio ha rivolto un nuovo interesse verso la figura e l’opera di Istvá</w:t>
      </w:r>
      <w:r>
        <w:rPr>
          <w:rFonts w:ascii="Times New Roman" w:hAnsi="Times New Roman"/>
        </w:rPr>
        <w:t>n Tisza, il</w:t>
      </w:r>
      <w:r w:rsidRPr="00FB5166">
        <w:rPr>
          <w:rFonts w:ascii="Times New Roman" w:hAnsi="Times New Roman"/>
        </w:rPr>
        <w:t xml:space="preserve"> ruolo nelle critiche decisioni del luglio 1914 e nella successiva influenza politica sulla Monarchia in guerra. Alla ricordata biografi</w:t>
      </w:r>
      <w:r>
        <w:rPr>
          <w:rFonts w:ascii="Times New Roman" w:hAnsi="Times New Roman"/>
        </w:rPr>
        <w:t xml:space="preserve">a di G. Vermes, </w:t>
      </w:r>
      <w:r w:rsidRPr="00E10A1C">
        <w:rPr>
          <w:rFonts w:ascii="Times New Roman" w:hAnsi="Times New Roman"/>
        </w:rPr>
        <w:t xml:space="preserve">preceduta di un anno dallo studio di László Tőkéczky, </w:t>
      </w:r>
      <w:r w:rsidRPr="00E10A1C">
        <w:rPr>
          <w:rFonts w:ascii="Times New Roman" w:hAnsi="Times New Roman"/>
          <w:i/>
        </w:rPr>
        <w:t>Tisza István eszmei, politikai arca</w:t>
      </w:r>
      <w:r w:rsidRPr="00E10A1C">
        <w:rPr>
          <w:rFonts w:ascii="Times New Roman" w:hAnsi="Times New Roman"/>
        </w:rPr>
        <w:t xml:space="preserve"> [i principi e la figura politica di I. Tisza], Kairosz Kiadó, Győr 2000; Ferenc Pölöskei, </w:t>
      </w:r>
      <w:r w:rsidRPr="00E10A1C">
        <w:rPr>
          <w:rFonts w:ascii="Times New Roman" w:hAnsi="Times New Roman"/>
          <w:i/>
        </w:rPr>
        <w:t>Tisza István és kora</w:t>
      </w:r>
      <w:r w:rsidRPr="00E10A1C">
        <w:rPr>
          <w:rFonts w:ascii="Times New Roman" w:hAnsi="Times New Roman"/>
        </w:rPr>
        <w:t xml:space="preserve"> [I. Tisza e il suo tempo], Éghajlat Könyvkiadó, Budapest 2014; e il volume miscellaneo curato da Iván Bertényi jr., </w:t>
      </w:r>
      <w:r w:rsidRPr="00E10A1C">
        <w:rPr>
          <w:rFonts w:ascii="Times New Roman" w:hAnsi="Times New Roman"/>
          <w:i/>
        </w:rPr>
        <w:t>Tisza István, két korszak határán</w:t>
      </w:r>
      <w:r w:rsidRPr="00E10A1C">
        <w:rPr>
          <w:rFonts w:ascii="Times New Roman" w:hAnsi="Times New Roman"/>
        </w:rPr>
        <w:t xml:space="preserve"> [I. Tisza al confine fra due epoche], Országgyülés Hivatala, Budapest 2016. </w:t>
      </w:r>
      <w:r>
        <w:rPr>
          <w:rFonts w:ascii="Times New Roman" w:hAnsi="Times New Roman"/>
        </w:rPr>
        <w:t xml:space="preserve">Si segnala in questo contesto il saggio di </w:t>
      </w:r>
      <w:r w:rsidRPr="00051E50">
        <w:rPr>
          <w:rFonts w:ascii="Times New Roman" w:hAnsi="Times New Roman"/>
        </w:rPr>
        <w:t xml:space="preserve">László Szarka, </w:t>
      </w:r>
      <w:r w:rsidRPr="00051E50">
        <w:rPr>
          <w:rFonts w:ascii="Times New Roman" w:hAnsi="Times New Roman"/>
          <w:i/>
        </w:rPr>
        <w:t>Tisza István, a háborús ministerelnök</w:t>
      </w:r>
      <w:r w:rsidRPr="00051E50">
        <w:rPr>
          <w:rFonts w:ascii="Times New Roman" w:hAnsi="Times New Roman"/>
        </w:rPr>
        <w:t xml:space="preserve"> [I. Tisza, il Primo ministro del tempo di guerra], ivi, pp.143-163,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F01EB"/>
    <w:multiLevelType w:val="multilevel"/>
    <w:tmpl w:val="87A6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AB6CAA"/>
    <w:multiLevelType w:val="hybridMultilevel"/>
    <w:tmpl w:val="0A965772"/>
    <w:lvl w:ilvl="0" w:tplc="3B2A3AF4">
      <w:start w:val="3"/>
      <w:numFmt w:val="bullet"/>
      <w:lvlText w:val="–"/>
      <w:lvlJc w:val="left"/>
      <w:pPr>
        <w:ind w:left="927" w:hanging="360"/>
      </w:pPr>
      <w:rPr>
        <w:rFonts w:ascii="Arial Narrow" w:eastAsiaTheme="minorHAnsi" w:hAnsi="Arial Narrow" w:cstheme="minorBid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nluca">
    <w15:presenceInfo w15:providerId="None" w15:userId="Gianlu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A9"/>
    <w:rsid w:val="000007D1"/>
    <w:rsid w:val="00000DCA"/>
    <w:rsid w:val="00002291"/>
    <w:rsid w:val="000023C3"/>
    <w:rsid w:val="00003C48"/>
    <w:rsid w:val="00006B81"/>
    <w:rsid w:val="0000764F"/>
    <w:rsid w:val="00007E93"/>
    <w:rsid w:val="0001258F"/>
    <w:rsid w:val="00015A8C"/>
    <w:rsid w:val="00020882"/>
    <w:rsid w:val="00021247"/>
    <w:rsid w:val="00025868"/>
    <w:rsid w:val="0002617F"/>
    <w:rsid w:val="00026F45"/>
    <w:rsid w:val="00027EF3"/>
    <w:rsid w:val="00034E7F"/>
    <w:rsid w:val="0003523F"/>
    <w:rsid w:val="000359FC"/>
    <w:rsid w:val="0003787D"/>
    <w:rsid w:val="00044B59"/>
    <w:rsid w:val="000459AA"/>
    <w:rsid w:val="00045CD7"/>
    <w:rsid w:val="00050C9C"/>
    <w:rsid w:val="00051E50"/>
    <w:rsid w:val="000577D8"/>
    <w:rsid w:val="00060DF8"/>
    <w:rsid w:val="0006168D"/>
    <w:rsid w:val="00064E1D"/>
    <w:rsid w:val="0006643D"/>
    <w:rsid w:val="00067E85"/>
    <w:rsid w:val="00074086"/>
    <w:rsid w:val="00087981"/>
    <w:rsid w:val="00090BA9"/>
    <w:rsid w:val="00090C22"/>
    <w:rsid w:val="00091D24"/>
    <w:rsid w:val="000953AB"/>
    <w:rsid w:val="00096461"/>
    <w:rsid w:val="000977B3"/>
    <w:rsid w:val="000A2EE1"/>
    <w:rsid w:val="000A2F13"/>
    <w:rsid w:val="000A5F56"/>
    <w:rsid w:val="000A6744"/>
    <w:rsid w:val="000B1D98"/>
    <w:rsid w:val="000B226B"/>
    <w:rsid w:val="000B3012"/>
    <w:rsid w:val="000B34FE"/>
    <w:rsid w:val="000B42BF"/>
    <w:rsid w:val="000C2AE8"/>
    <w:rsid w:val="000D09B6"/>
    <w:rsid w:val="000D1B1E"/>
    <w:rsid w:val="000D2069"/>
    <w:rsid w:val="000D2995"/>
    <w:rsid w:val="000D2FBD"/>
    <w:rsid w:val="000D4D03"/>
    <w:rsid w:val="000D53DC"/>
    <w:rsid w:val="000E066C"/>
    <w:rsid w:val="000E398E"/>
    <w:rsid w:val="000E3A53"/>
    <w:rsid w:val="000E412B"/>
    <w:rsid w:val="000F0243"/>
    <w:rsid w:val="000F27D8"/>
    <w:rsid w:val="000F5375"/>
    <w:rsid w:val="00102688"/>
    <w:rsid w:val="00102DB8"/>
    <w:rsid w:val="00103914"/>
    <w:rsid w:val="001056C6"/>
    <w:rsid w:val="00110301"/>
    <w:rsid w:val="00111D86"/>
    <w:rsid w:val="00112361"/>
    <w:rsid w:val="00112E04"/>
    <w:rsid w:val="001163BF"/>
    <w:rsid w:val="00116AE6"/>
    <w:rsid w:val="00122CD1"/>
    <w:rsid w:val="001266E1"/>
    <w:rsid w:val="001306F7"/>
    <w:rsid w:val="00131252"/>
    <w:rsid w:val="00132499"/>
    <w:rsid w:val="00132F1C"/>
    <w:rsid w:val="00133D9E"/>
    <w:rsid w:val="00135B0D"/>
    <w:rsid w:val="00141FB9"/>
    <w:rsid w:val="00141FD1"/>
    <w:rsid w:val="00145FE3"/>
    <w:rsid w:val="001469D9"/>
    <w:rsid w:val="00146BB7"/>
    <w:rsid w:val="0014714B"/>
    <w:rsid w:val="00147E62"/>
    <w:rsid w:val="001508C7"/>
    <w:rsid w:val="00151A01"/>
    <w:rsid w:val="00151FE6"/>
    <w:rsid w:val="00153B69"/>
    <w:rsid w:val="00154005"/>
    <w:rsid w:val="00166DC6"/>
    <w:rsid w:val="00166FDC"/>
    <w:rsid w:val="001717DE"/>
    <w:rsid w:val="001725F4"/>
    <w:rsid w:val="00172A08"/>
    <w:rsid w:val="00174923"/>
    <w:rsid w:val="00174ADB"/>
    <w:rsid w:val="00174CC1"/>
    <w:rsid w:val="00176519"/>
    <w:rsid w:val="0018006D"/>
    <w:rsid w:val="001802C9"/>
    <w:rsid w:val="00180574"/>
    <w:rsid w:val="001811B7"/>
    <w:rsid w:val="001832A5"/>
    <w:rsid w:val="001836D5"/>
    <w:rsid w:val="001844A5"/>
    <w:rsid w:val="001851D7"/>
    <w:rsid w:val="0019150D"/>
    <w:rsid w:val="00191B7D"/>
    <w:rsid w:val="00195945"/>
    <w:rsid w:val="00197D1B"/>
    <w:rsid w:val="001A08E5"/>
    <w:rsid w:val="001A0DD9"/>
    <w:rsid w:val="001A1A42"/>
    <w:rsid w:val="001A36CC"/>
    <w:rsid w:val="001A55D7"/>
    <w:rsid w:val="001A6BF6"/>
    <w:rsid w:val="001B36E5"/>
    <w:rsid w:val="001C1D26"/>
    <w:rsid w:val="001C6B72"/>
    <w:rsid w:val="001D05D4"/>
    <w:rsid w:val="001D0A60"/>
    <w:rsid w:val="001D77BC"/>
    <w:rsid w:val="001D7A28"/>
    <w:rsid w:val="001E0971"/>
    <w:rsid w:val="001E2AF4"/>
    <w:rsid w:val="001E6D30"/>
    <w:rsid w:val="001F4707"/>
    <w:rsid w:val="001F54D9"/>
    <w:rsid w:val="001F74C0"/>
    <w:rsid w:val="001F7BE4"/>
    <w:rsid w:val="00200B12"/>
    <w:rsid w:val="00202AFB"/>
    <w:rsid w:val="002051A0"/>
    <w:rsid w:val="002069FE"/>
    <w:rsid w:val="00212351"/>
    <w:rsid w:val="00212A33"/>
    <w:rsid w:val="00213306"/>
    <w:rsid w:val="002148BC"/>
    <w:rsid w:val="00221E6F"/>
    <w:rsid w:val="00227503"/>
    <w:rsid w:val="002302B4"/>
    <w:rsid w:val="00230371"/>
    <w:rsid w:val="00233930"/>
    <w:rsid w:val="0023549C"/>
    <w:rsid w:val="0023695A"/>
    <w:rsid w:val="0024092A"/>
    <w:rsid w:val="002421EE"/>
    <w:rsid w:val="00244F32"/>
    <w:rsid w:val="00251414"/>
    <w:rsid w:val="00254AF9"/>
    <w:rsid w:val="00254B7C"/>
    <w:rsid w:val="002559E6"/>
    <w:rsid w:val="00257950"/>
    <w:rsid w:val="00262153"/>
    <w:rsid w:val="002621F3"/>
    <w:rsid w:val="00264DB0"/>
    <w:rsid w:val="0026578D"/>
    <w:rsid w:val="00265FAA"/>
    <w:rsid w:val="00267A31"/>
    <w:rsid w:val="00270F10"/>
    <w:rsid w:val="0027158F"/>
    <w:rsid w:val="00271A9B"/>
    <w:rsid w:val="0027331D"/>
    <w:rsid w:val="0027647D"/>
    <w:rsid w:val="002807FC"/>
    <w:rsid w:val="00282DD8"/>
    <w:rsid w:val="0028374D"/>
    <w:rsid w:val="00287A13"/>
    <w:rsid w:val="00291462"/>
    <w:rsid w:val="00293F2F"/>
    <w:rsid w:val="002962ED"/>
    <w:rsid w:val="0029748D"/>
    <w:rsid w:val="00297C63"/>
    <w:rsid w:val="002A00A3"/>
    <w:rsid w:val="002A0C9E"/>
    <w:rsid w:val="002A31B8"/>
    <w:rsid w:val="002A37F7"/>
    <w:rsid w:val="002A3CCD"/>
    <w:rsid w:val="002A55A5"/>
    <w:rsid w:val="002A753B"/>
    <w:rsid w:val="002B1C6B"/>
    <w:rsid w:val="002B2DE9"/>
    <w:rsid w:val="002B45C2"/>
    <w:rsid w:val="002B62A0"/>
    <w:rsid w:val="002C106C"/>
    <w:rsid w:val="002C2002"/>
    <w:rsid w:val="002C4253"/>
    <w:rsid w:val="002C4A1F"/>
    <w:rsid w:val="002C68ED"/>
    <w:rsid w:val="002C6A10"/>
    <w:rsid w:val="002C6ADD"/>
    <w:rsid w:val="002D19E1"/>
    <w:rsid w:val="002D2CF8"/>
    <w:rsid w:val="002D7191"/>
    <w:rsid w:val="002E213A"/>
    <w:rsid w:val="002E2AC0"/>
    <w:rsid w:val="002E4D71"/>
    <w:rsid w:val="002E50D7"/>
    <w:rsid w:val="002E59EE"/>
    <w:rsid w:val="002E6519"/>
    <w:rsid w:val="002F2DC3"/>
    <w:rsid w:val="002F488D"/>
    <w:rsid w:val="003145A0"/>
    <w:rsid w:val="0031572A"/>
    <w:rsid w:val="003157E8"/>
    <w:rsid w:val="00315D29"/>
    <w:rsid w:val="003166A9"/>
    <w:rsid w:val="00320657"/>
    <w:rsid w:val="003207D4"/>
    <w:rsid w:val="003224AF"/>
    <w:rsid w:val="00323F8F"/>
    <w:rsid w:val="00327E23"/>
    <w:rsid w:val="003306E4"/>
    <w:rsid w:val="0033360A"/>
    <w:rsid w:val="003352D3"/>
    <w:rsid w:val="003428FA"/>
    <w:rsid w:val="00342F58"/>
    <w:rsid w:val="0034436C"/>
    <w:rsid w:val="00344EB6"/>
    <w:rsid w:val="00345CD7"/>
    <w:rsid w:val="00346C9A"/>
    <w:rsid w:val="00347E6A"/>
    <w:rsid w:val="00353998"/>
    <w:rsid w:val="00355B6A"/>
    <w:rsid w:val="00360F8B"/>
    <w:rsid w:val="003614C4"/>
    <w:rsid w:val="00363CFF"/>
    <w:rsid w:val="00364612"/>
    <w:rsid w:val="0036485A"/>
    <w:rsid w:val="0036533B"/>
    <w:rsid w:val="00365EA1"/>
    <w:rsid w:val="003662B2"/>
    <w:rsid w:val="0037047F"/>
    <w:rsid w:val="00371B40"/>
    <w:rsid w:val="003729B2"/>
    <w:rsid w:val="00374B7F"/>
    <w:rsid w:val="0037581A"/>
    <w:rsid w:val="003774A6"/>
    <w:rsid w:val="003779A3"/>
    <w:rsid w:val="00377E7C"/>
    <w:rsid w:val="0038230A"/>
    <w:rsid w:val="0038232B"/>
    <w:rsid w:val="00384C8F"/>
    <w:rsid w:val="003855C1"/>
    <w:rsid w:val="00385A74"/>
    <w:rsid w:val="00386F1B"/>
    <w:rsid w:val="003876CA"/>
    <w:rsid w:val="00392C2E"/>
    <w:rsid w:val="00393391"/>
    <w:rsid w:val="0039719F"/>
    <w:rsid w:val="003A1A6C"/>
    <w:rsid w:val="003A279F"/>
    <w:rsid w:val="003A4D26"/>
    <w:rsid w:val="003B02A2"/>
    <w:rsid w:val="003B18D1"/>
    <w:rsid w:val="003B2D91"/>
    <w:rsid w:val="003B7924"/>
    <w:rsid w:val="003C02D7"/>
    <w:rsid w:val="003C08CB"/>
    <w:rsid w:val="003C1E84"/>
    <w:rsid w:val="003C44E4"/>
    <w:rsid w:val="003C44EA"/>
    <w:rsid w:val="003C4D22"/>
    <w:rsid w:val="003C57E2"/>
    <w:rsid w:val="003C60D9"/>
    <w:rsid w:val="003C7D9B"/>
    <w:rsid w:val="003D098D"/>
    <w:rsid w:val="003D45DD"/>
    <w:rsid w:val="003D6491"/>
    <w:rsid w:val="003D6D9B"/>
    <w:rsid w:val="003F735E"/>
    <w:rsid w:val="003F73A2"/>
    <w:rsid w:val="00400EEC"/>
    <w:rsid w:val="00402AC1"/>
    <w:rsid w:val="00403C4B"/>
    <w:rsid w:val="00403E2F"/>
    <w:rsid w:val="0040744C"/>
    <w:rsid w:val="00411542"/>
    <w:rsid w:val="00412EE9"/>
    <w:rsid w:val="004137EC"/>
    <w:rsid w:val="00414177"/>
    <w:rsid w:val="0041524C"/>
    <w:rsid w:val="004158B4"/>
    <w:rsid w:val="00416750"/>
    <w:rsid w:val="004169B2"/>
    <w:rsid w:val="00422A67"/>
    <w:rsid w:val="00423FDF"/>
    <w:rsid w:val="004272C9"/>
    <w:rsid w:val="00435678"/>
    <w:rsid w:val="0043649A"/>
    <w:rsid w:val="004367CA"/>
    <w:rsid w:val="00441982"/>
    <w:rsid w:val="004443C9"/>
    <w:rsid w:val="00445141"/>
    <w:rsid w:val="00445D2D"/>
    <w:rsid w:val="00447644"/>
    <w:rsid w:val="0044773B"/>
    <w:rsid w:val="00451E97"/>
    <w:rsid w:val="00452823"/>
    <w:rsid w:val="00454921"/>
    <w:rsid w:val="00456488"/>
    <w:rsid w:val="00460E51"/>
    <w:rsid w:val="0046250E"/>
    <w:rsid w:val="00462B86"/>
    <w:rsid w:val="00462DC4"/>
    <w:rsid w:val="00464A1E"/>
    <w:rsid w:val="00464D01"/>
    <w:rsid w:val="0046632E"/>
    <w:rsid w:val="00467DAA"/>
    <w:rsid w:val="004706D5"/>
    <w:rsid w:val="00470A99"/>
    <w:rsid w:val="00473731"/>
    <w:rsid w:val="00476A64"/>
    <w:rsid w:val="00477F6C"/>
    <w:rsid w:val="00481328"/>
    <w:rsid w:val="00484A08"/>
    <w:rsid w:val="00485B7E"/>
    <w:rsid w:val="00487E0E"/>
    <w:rsid w:val="00493B1D"/>
    <w:rsid w:val="00495AEB"/>
    <w:rsid w:val="0049719B"/>
    <w:rsid w:val="00497507"/>
    <w:rsid w:val="004A2570"/>
    <w:rsid w:val="004A3DAC"/>
    <w:rsid w:val="004A42EE"/>
    <w:rsid w:val="004A6A88"/>
    <w:rsid w:val="004B13D1"/>
    <w:rsid w:val="004B1B0B"/>
    <w:rsid w:val="004B3476"/>
    <w:rsid w:val="004C0825"/>
    <w:rsid w:val="004C312D"/>
    <w:rsid w:val="004C3245"/>
    <w:rsid w:val="004C3BA0"/>
    <w:rsid w:val="004C4A87"/>
    <w:rsid w:val="004C6C60"/>
    <w:rsid w:val="004C6ECE"/>
    <w:rsid w:val="004C714E"/>
    <w:rsid w:val="004C749A"/>
    <w:rsid w:val="004D56A9"/>
    <w:rsid w:val="004E1311"/>
    <w:rsid w:val="004E23B7"/>
    <w:rsid w:val="004E3047"/>
    <w:rsid w:val="004E4C15"/>
    <w:rsid w:val="004E7240"/>
    <w:rsid w:val="004E73C7"/>
    <w:rsid w:val="004E7EBF"/>
    <w:rsid w:val="004F108C"/>
    <w:rsid w:val="004F156E"/>
    <w:rsid w:val="004F20E8"/>
    <w:rsid w:val="004F250B"/>
    <w:rsid w:val="004F562C"/>
    <w:rsid w:val="005030B6"/>
    <w:rsid w:val="0050735A"/>
    <w:rsid w:val="0051154B"/>
    <w:rsid w:val="005129A5"/>
    <w:rsid w:val="00513248"/>
    <w:rsid w:val="0051341C"/>
    <w:rsid w:val="00513B58"/>
    <w:rsid w:val="005148F4"/>
    <w:rsid w:val="005156D9"/>
    <w:rsid w:val="0052022C"/>
    <w:rsid w:val="0052090B"/>
    <w:rsid w:val="00521EFE"/>
    <w:rsid w:val="005258C6"/>
    <w:rsid w:val="005308E7"/>
    <w:rsid w:val="00534F93"/>
    <w:rsid w:val="00536A3A"/>
    <w:rsid w:val="00543FAE"/>
    <w:rsid w:val="005453A1"/>
    <w:rsid w:val="00545529"/>
    <w:rsid w:val="00552F40"/>
    <w:rsid w:val="005541EB"/>
    <w:rsid w:val="005544C8"/>
    <w:rsid w:val="00554C04"/>
    <w:rsid w:val="00557288"/>
    <w:rsid w:val="005572FC"/>
    <w:rsid w:val="00561B37"/>
    <w:rsid w:val="00561C8E"/>
    <w:rsid w:val="005627A3"/>
    <w:rsid w:val="005654BD"/>
    <w:rsid w:val="00566EA3"/>
    <w:rsid w:val="00567B8F"/>
    <w:rsid w:val="0057130B"/>
    <w:rsid w:val="00571434"/>
    <w:rsid w:val="005731A1"/>
    <w:rsid w:val="0057324F"/>
    <w:rsid w:val="00574EDB"/>
    <w:rsid w:val="00575EB0"/>
    <w:rsid w:val="005766B3"/>
    <w:rsid w:val="005773AE"/>
    <w:rsid w:val="005823A9"/>
    <w:rsid w:val="00582780"/>
    <w:rsid w:val="00584EF5"/>
    <w:rsid w:val="00585560"/>
    <w:rsid w:val="00591466"/>
    <w:rsid w:val="00591B49"/>
    <w:rsid w:val="00592819"/>
    <w:rsid w:val="00592E3F"/>
    <w:rsid w:val="005932F2"/>
    <w:rsid w:val="00593328"/>
    <w:rsid w:val="005938F4"/>
    <w:rsid w:val="00593F9F"/>
    <w:rsid w:val="005941AF"/>
    <w:rsid w:val="0059426C"/>
    <w:rsid w:val="00595D4F"/>
    <w:rsid w:val="00596CFC"/>
    <w:rsid w:val="005A0BB0"/>
    <w:rsid w:val="005A291E"/>
    <w:rsid w:val="005A6D34"/>
    <w:rsid w:val="005A74FD"/>
    <w:rsid w:val="005B207E"/>
    <w:rsid w:val="005B2B92"/>
    <w:rsid w:val="005B3EAF"/>
    <w:rsid w:val="005B5D7B"/>
    <w:rsid w:val="005B658E"/>
    <w:rsid w:val="005C08CF"/>
    <w:rsid w:val="005C4062"/>
    <w:rsid w:val="005C4099"/>
    <w:rsid w:val="005C4377"/>
    <w:rsid w:val="005C4B0B"/>
    <w:rsid w:val="005C69FF"/>
    <w:rsid w:val="005C7A88"/>
    <w:rsid w:val="005C7B90"/>
    <w:rsid w:val="005D2887"/>
    <w:rsid w:val="005D5FA5"/>
    <w:rsid w:val="005D6BCE"/>
    <w:rsid w:val="005E0560"/>
    <w:rsid w:val="005E40EE"/>
    <w:rsid w:val="005E49A9"/>
    <w:rsid w:val="005E67A2"/>
    <w:rsid w:val="005F0829"/>
    <w:rsid w:val="005F45C1"/>
    <w:rsid w:val="006008EF"/>
    <w:rsid w:val="006018C8"/>
    <w:rsid w:val="00601BBF"/>
    <w:rsid w:val="0060317B"/>
    <w:rsid w:val="00606A19"/>
    <w:rsid w:val="00611EB6"/>
    <w:rsid w:val="00616009"/>
    <w:rsid w:val="006172AC"/>
    <w:rsid w:val="00620CEA"/>
    <w:rsid w:val="00621234"/>
    <w:rsid w:val="006215D3"/>
    <w:rsid w:val="00623798"/>
    <w:rsid w:val="00624452"/>
    <w:rsid w:val="006260A8"/>
    <w:rsid w:val="0063055A"/>
    <w:rsid w:val="00630CD9"/>
    <w:rsid w:val="00634334"/>
    <w:rsid w:val="00635504"/>
    <w:rsid w:val="00636D58"/>
    <w:rsid w:val="00636F39"/>
    <w:rsid w:val="006372BA"/>
    <w:rsid w:val="00645A42"/>
    <w:rsid w:val="0065068B"/>
    <w:rsid w:val="00650E9B"/>
    <w:rsid w:val="0065119B"/>
    <w:rsid w:val="00653D44"/>
    <w:rsid w:val="00655D5C"/>
    <w:rsid w:val="0066048F"/>
    <w:rsid w:val="006617CF"/>
    <w:rsid w:val="00662A10"/>
    <w:rsid w:val="00664226"/>
    <w:rsid w:val="00664743"/>
    <w:rsid w:val="00664798"/>
    <w:rsid w:val="006667E6"/>
    <w:rsid w:val="0067199F"/>
    <w:rsid w:val="00673033"/>
    <w:rsid w:val="00675C74"/>
    <w:rsid w:val="00677671"/>
    <w:rsid w:val="006800AC"/>
    <w:rsid w:val="006803EB"/>
    <w:rsid w:val="00681E86"/>
    <w:rsid w:val="006827AF"/>
    <w:rsid w:val="0068437E"/>
    <w:rsid w:val="0068562F"/>
    <w:rsid w:val="0068619D"/>
    <w:rsid w:val="0068692D"/>
    <w:rsid w:val="006901FF"/>
    <w:rsid w:val="006910DA"/>
    <w:rsid w:val="006964F6"/>
    <w:rsid w:val="00696F93"/>
    <w:rsid w:val="006A24F8"/>
    <w:rsid w:val="006A664C"/>
    <w:rsid w:val="006B27DE"/>
    <w:rsid w:val="006C2F9C"/>
    <w:rsid w:val="006D0BF0"/>
    <w:rsid w:val="006D3E31"/>
    <w:rsid w:val="006D52B0"/>
    <w:rsid w:val="006D586B"/>
    <w:rsid w:val="006D6265"/>
    <w:rsid w:val="006D64F1"/>
    <w:rsid w:val="006E0B86"/>
    <w:rsid w:val="006E419B"/>
    <w:rsid w:val="006E66F2"/>
    <w:rsid w:val="006E7321"/>
    <w:rsid w:val="006F14EA"/>
    <w:rsid w:val="006F3689"/>
    <w:rsid w:val="006F3B86"/>
    <w:rsid w:val="006F603F"/>
    <w:rsid w:val="006F7010"/>
    <w:rsid w:val="006F7AD4"/>
    <w:rsid w:val="00700929"/>
    <w:rsid w:val="00701DAC"/>
    <w:rsid w:val="00703246"/>
    <w:rsid w:val="00704031"/>
    <w:rsid w:val="00704F05"/>
    <w:rsid w:val="00711010"/>
    <w:rsid w:val="00714DF9"/>
    <w:rsid w:val="00716F8B"/>
    <w:rsid w:val="007201B0"/>
    <w:rsid w:val="007210B6"/>
    <w:rsid w:val="0072723E"/>
    <w:rsid w:val="00731A32"/>
    <w:rsid w:val="00732165"/>
    <w:rsid w:val="00741AFF"/>
    <w:rsid w:val="00744BB5"/>
    <w:rsid w:val="0074518D"/>
    <w:rsid w:val="00747DBD"/>
    <w:rsid w:val="00750F8D"/>
    <w:rsid w:val="00753AE6"/>
    <w:rsid w:val="007544DA"/>
    <w:rsid w:val="007545BD"/>
    <w:rsid w:val="007620A7"/>
    <w:rsid w:val="007647C4"/>
    <w:rsid w:val="007652DF"/>
    <w:rsid w:val="007678FA"/>
    <w:rsid w:val="00767F36"/>
    <w:rsid w:val="007706A3"/>
    <w:rsid w:val="00772B6A"/>
    <w:rsid w:val="00775D11"/>
    <w:rsid w:val="00776012"/>
    <w:rsid w:val="0077633A"/>
    <w:rsid w:val="007772DE"/>
    <w:rsid w:val="00777AFD"/>
    <w:rsid w:val="0078029E"/>
    <w:rsid w:val="00781253"/>
    <w:rsid w:val="00783D90"/>
    <w:rsid w:val="00783D99"/>
    <w:rsid w:val="00786D10"/>
    <w:rsid w:val="007912DD"/>
    <w:rsid w:val="00792E5B"/>
    <w:rsid w:val="007970FF"/>
    <w:rsid w:val="007A1313"/>
    <w:rsid w:val="007A2B0E"/>
    <w:rsid w:val="007A5E19"/>
    <w:rsid w:val="007A7EEF"/>
    <w:rsid w:val="007B115F"/>
    <w:rsid w:val="007B2656"/>
    <w:rsid w:val="007B6128"/>
    <w:rsid w:val="007B7B5C"/>
    <w:rsid w:val="007C075E"/>
    <w:rsid w:val="007C55B5"/>
    <w:rsid w:val="007C5FBB"/>
    <w:rsid w:val="007C6C03"/>
    <w:rsid w:val="007C7E3E"/>
    <w:rsid w:val="007D06EB"/>
    <w:rsid w:val="007D2199"/>
    <w:rsid w:val="007D2EE8"/>
    <w:rsid w:val="007D3CEB"/>
    <w:rsid w:val="007D6B20"/>
    <w:rsid w:val="007D789B"/>
    <w:rsid w:val="007E0792"/>
    <w:rsid w:val="007E09E4"/>
    <w:rsid w:val="007E5251"/>
    <w:rsid w:val="007E6A1A"/>
    <w:rsid w:val="007F097D"/>
    <w:rsid w:val="007F1C06"/>
    <w:rsid w:val="007F522A"/>
    <w:rsid w:val="007F593C"/>
    <w:rsid w:val="00800172"/>
    <w:rsid w:val="00802605"/>
    <w:rsid w:val="00803CBD"/>
    <w:rsid w:val="00803D28"/>
    <w:rsid w:val="00805462"/>
    <w:rsid w:val="00805914"/>
    <w:rsid w:val="0081109D"/>
    <w:rsid w:val="00812E9D"/>
    <w:rsid w:val="00812F68"/>
    <w:rsid w:val="00813700"/>
    <w:rsid w:val="00813AE2"/>
    <w:rsid w:val="008156DF"/>
    <w:rsid w:val="00815F29"/>
    <w:rsid w:val="008162AB"/>
    <w:rsid w:val="0081709D"/>
    <w:rsid w:val="00820050"/>
    <w:rsid w:val="008228CD"/>
    <w:rsid w:val="008233B4"/>
    <w:rsid w:val="00823CBD"/>
    <w:rsid w:val="008409D1"/>
    <w:rsid w:val="00844765"/>
    <w:rsid w:val="00844EDE"/>
    <w:rsid w:val="0084698E"/>
    <w:rsid w:val="00850E1D"/>
    <w:rsid w:val="00851891"/>
    <w:rsid w:val="00854DEE"/>
    <w:rsid w:val="00854F28"/>
    <w:rsid w:val="00855F80"/>
    <w:rsid w:val="00856816"/>
    <w:rsid w:val="008569F6"/>
    <w:rsid w:val="00856E0A"/>
    <w:rsid w:val="00860F4D"/>
    <w:rsid w:val="00863017"/>
    <w:rsid w:val="0086525D"/>
    <w:rsid w:val="00865EEC"/>
    <w:rsid w:val="00865FCA"/>
    <w:rsid w:val="008662C2"/>
    <w:rsid w:val="00867720"/>
    <w:rsid w:val="00867A65"/>
    <w:rsid w:val="00870BEA"/>
    <w:rsid w:val="0087125F"/>
    <w:rsid w:val="00871D2F"/>
    <w:rsid w:val="00873FE0"/>
    <w:rsid w:val="008773AE"/>
    <w:rsid w:val="008773AF"/>
    <w:rsid w:val="008811ED"/>
    <w:rsid w:val="008828AD"/>
    <w:rsid w:val="00884CA7"/>
    <w:rsid w:val="008857FE"/>
    <w:rsid w:val="00885BE5"/>
    <w:rsid w:val="00892568"/>
    <w:rsid w:val="00892A24"/>
    <w:rsid w:val="00893478"/>
    <w:rsid w:val="008957A9"/>
    <w:rsid w:val="00895956"/>
    <w:rsid w:val="008A1E07"/>
    <w:rsid w:val="008A4A6C"/>
    <w:rsid w:val="008A4B79"/>
    <w:rsid w:val="008A751A"/>
    <w:rsid w:val="008B01E6"/>
    <w:rsid w:val="008B133B"/>
    <w:rsid w:val="008B424C"/>
    <w:rsid w:val="008B434D"/>
    <w:rsid w:val="008B5B01"/>
    <w:rsid w:val="008B5F5D"/>
    <w:rsid w:val="008B78B1"/>
    <w:rsid w:val="008C0E6C"/>
    <w:rsid w:val="008C1965"/>
    <w:rsid w:val="008C1BA6"/>
    <w:rsid w:val="008C5D02"/>
    <w:rsid w:val="008C780B"/>
    <w:rsid w:val="008D1397"/>
    <w:rsid w:val="008D1536"/>
    <w:rsid w:val="008D3E27"/>
    <w:rsid w:val="008E0762"/>
    <w:rsid w:val="008E2119"/>
    <w:rsid w:val="008E40ED"/>
    <w:rsid w:val="008E5569"/>
    <w:rsid w:val="008E68EA"/>
    <w:rsid w:val="008E6927"/>
    <w:rsid w:val="008F0AF3"/>
    <w:rsid w:val="008F5AEC"/>
    <w:rsid w:val="009016D1"/>
    <w:rsid w:val="009019DF"/>
    <w:rsid w:val="0090251E"/>
    <w:rsid w:val="00904891"/>
    <w:rsid w:val="00905B2B"/>
    <w:rsid w:val="009108ED"/>
    <w:rsid w:val="0091279B"/>
    <w:rsid w:val="00912B29"/>
    <w:rsid w:val="00913440"/>
    <w:rsid w:val="0092002B"/>
    <w:rsid w:val="00920328"/>
    <w:rsid w:val="00920E7F"/>
    <w:rsid w:val="00921583"/>
    <w:rsid w:val="00932664"/>
    <w:rsid w:val="00932953"/>
    <w:rsid w:val="00934DF8"/>
    <w:rsid w:val="00934FD9"/>
    <w:rsid w:val="00935970"/>
    <w:rsid w:val="00936D81"/>
    <w:rsid w:val="00936DCD"/>
    <w:rsid w:val="0093755E"/>
    <w:rsid w:val="0094130C"/>
    <w:rsid w:val="00941FC0"/>
    <w:rsid w:val="009428D5"/>
    <w:rsid w:val="00946285"/>
    <w:rsid w:val="009469BA"/>
    <w:rsid w:val="0095699B"/>
    <w:rsid w:val="009577E4"/>
    <w:rsid w:val="00962D0D"/>
    <w:rsid w:val="009664DC"/>
    <w:rsid w:val="009702A2"/>
    <w:rsid w:val="00972A61"/>
    <w:rsid w:val="009737B7"/>
    <w:rsid w:val="00974361"/>
    <w:rsid w:val="00975AE0"/>
    <w:rsid w:val="009762E4"/>
    <w:rsid w:val="009764F3"/>
    <w:rsid w:val="00983F0C"/>
    <w:rsid w:val="00984406"/>
    <w:rsid w:val="00985EBC"/>
    <w:rsid w:val="00986389"/>
    <w:rsid w:val="00986F4F"/>
    <w:rsid w:val="00990739"/>
    <w:rsid w:val="009923B0"/>
    <w:rsid w:val="00997467"/>
    <w:rsid w:val="009A0919"/>
    <w:rsid w:val="009B3DB6"/>
    <w:rsid w:val="009C1964"/>
    <w:rsid w:val="009C51E6"/>
    <w:rsid w:val="009C7933"/>
    <w:rsid w:val="009D4388"/>
    <w:rsid w:val="009D4BFE"/>
    <w:rsid w:val="009E09D4"/>
    <w:rsid w:val="009E61DE"/>
    <w:rsid w:val="009E64AF"/>
    <w:rsid w:val="009F20A5"/>
    <w:rsid w:val="009F2465"/>
    <w:rsid w:val="009F2B6C"/>
    <w:rsid w:val="009F7288"/>
    <w:rsid w:val="00A00FA7"/>
    <w:rsid w:val="00A016E8"/>
    <w:rsid w:val="00A0306C"/>
    <w:rsid w:val="00A039C1"/>
    <w:rsid w:val="00A053F6"/>
    <w:rsid w:val="00A06D2D"/>
    <w:rsid w:val="00A07EA1"/>
    <w:rsid w:val="00A10B92"/>
    <w:rsid w:val="00A11A77"/>
    <w:rsid w:val="00A1519B"/>
    <w:rsid w:val="00A1677A"/>
    <w:rsid w:val="00A206CA"/>
    <w:rsid w:val="00A22919"/>
    <w:rsid w:val="00A22CAF"/>
    <w:rsid w:val="00A22E4A"/>
    <w:rsid w:val="00A30FAA"/>
    <w:rsid w:val="00A32262"/>
    <w:rsid w:val="00A3239A"/>
    <w:rsid w:val="00A3273D"/>
    <w:rsid w:val="00A33DFC"/>
    <w:rsid w:val="00A35C17"/>
    <w:rsid w:val="00A363C2"/>
    <w:rsid w:val="00A4000B"/>
    <w:rsid w:val="00A4045B"/>
    <w:rsid w:val="00A407E8"/>
    <w:rsid w:val="00A434B8"/>
    <w:rsid w:val="00A43BD9"/>
    <w:rsid w:val="00A440B7"/>
    <w:rsid w:val="00A47A14"/>
    <w:rsid w:val="00A529CE"/>
    <w:rsid w:val="00A54C3D"/>
    <w:rsid w:val="00A601F0"/>
    <w:rsid w:val="00A62950"/>
    <w:rsid w:val="00A641F0"/>
    <w:rsid w:val="00A67F2F"/>
    <w:rsid w:val="00A73C42"/>
    <w:rsid w:val="00A74443"/>
    <w:rsid w:val="00A8101B"/>
    <w:rsid w:val="00A840A9"/>
    <w:rsid w:val="00A84108"/>
    <w:rsid w:val="00A84B74"/>
    <w:rsid w:val="00A85E65"/>
    <w:rsid w:val="00A862BA"/>
    <w:rsid w:val="00A9053C"/>
    <w:rsid w:val="00A95FEE"/>
    <w:rsid w:val="00A971C0"/>
    <w:rsid w:val="00A97828"/>
    <w:rsid w:val="00AA172F"/>
    <w:rsid w:val="00AA36D7"/>
    <w:rsid w:val="00AA3DD9"/>
    <w:rsid w:val="00AA48E7"/>
    <w:rsid w:val="00AA76AD"/>
    <w:rsid w:val="00AA7CFD"/>
    <w:rsid w:val="00AB1081"/>
    <w:rsid w:val="00AB2620"/>
    <w:rsid w:val="00AB3122"/>
    <w:rsid w:val="00AB3C05"/>
    <w:rsid w:val="00AB5245"/>
    <w:rsid w:val="00AB5A90"/>
    <w:rsid w:val="00AB5CED"/>
    <w:rsid w:val="00AC1D0D"/>
    <w:rsid w:val="00AC2AC1"/>
    <w:rsid w:val="00AC6024"/>
    <w:rsid w:val="00AC6357"/>
    <w:rsid w:val="00AD3952"/>
    <w:rsid w:val="00AD3CB2"/>
    <w:rsid w:val="00AD4055"/>
    <w:rsid w:val="00AD646B"/>
    <w:rsid w:val="00AD7E9B"/>
    <w:rsid w:val="00AE106C"/>
    <w:rsid w:val="00AE1255"/>
    <w:rsid w:val="00AE15F6"/>
    <w:rsid w:val="00AE25F3"/>
    <w:rsid w:val="00AF7F64"/>
    <w:rsid w:val="00B0358C"/>
    <w:rsid w:val="00B073CE"/>
    <w:rsid w:val="00B10997"/>
    <w:rsid w:val="00B11C75"/>
    <w:rsid w:val="00B131A1"/>
    <w:rsid w:val="00B13721"/>
    <w:rsid w:val="00B13C31"/>
    <w:rsid w:val="00B14129"/>
    <w:rsid w:val="00B1467E"/>
    <w:rsid w:val="00B2103A"/>
    <w:rsid w:val="00B24803"/>
    <w:rsid w:val="00B266D9"/>
    <w:rsid w:val="00B27DF7"/>
    <w:rsid w:val="00B317EE"/>
    <w:rsid w:val="00B317FA"/>
    <w:rsid w:val="00B34874"/>
    <w:rsid w:val="00B374C3"/>
    <w:rsid w:val="00B4195B"/>
    <w:rsid w:val="00B45D94"/>
    <w:rsid w:val="00B47AA0"/>
    <w:rsid w:val="00B5020E"/>
    <w:rsid w:val="00B513BA"/>
    <w:rsid w:val="00B516CD"/>
    <w:rsid w:val="00B5229A"/>
    <w:rsid w:val="00B52D70"/>
    <w:rsid w:val="00B55EB4"/>
    <w:rsid w:val="00B569FA"/>
    <w:rsid w:val="00B6011B"/>
    <w:rsid w:val="00B6039C"/>
    <w:rsid w:val="00B60A48"/>
    <w:rsid w:val="00B64B7F"/>
    <w:rsid w:val="00B67467"/>
    <w:rsid w:val="00B703A0"/>
    <w:rsid w:val="00B72042"/>
    <w:rsid w:val="00B72630"/>
    <w:rsid w:val="00B76F22"/>
    <w:rsid w:val="00B771E7"/>
    <w:rsid w:val="00B83CD1"/>
    <w:rsid w:val="00B85591"/>
    <w:rsid w:val="00B85787"/>
    <w:rsid w:val="00B87045"/>
    <w:rsid w:val="00B874C8"/>
    <w:rsid w:val="00B87A06"/>
    <w:rsid w:val="00B94CA4"/>
    <w:rsid w:val="00B9538D"/>
    <w:rsid w:val="00B95FF4"/>
    <w:rsid w:val="00B9702F"/>
    <w:rsid w:val="00B976CE"/>
    <w:rsid w:val="00BA0224"/>
    <w:rsid w:val="00BA0E15"/>
    <w:rsid w:val="00BA12DE"/>
    <w:rsid w:val="00BA4134"/>
    <w:rsid w:val="00BA468F"/>
    <w:rsid w:val="00BB14EC"/>
    <w:rsid w:val="00BB2464"/>
    <w:rsid w:val="00BB4F92"/>
    <w:rsid w:val="00BB55EB"/>
    <w:rsid w:val="00BC19AD"/>
    <w:rsid w:val="00BC43BB"/>
    <w:rsid w:val="00BD01C6"/>
    <w:rsid w:val="00BD0BA6"/>
    <w:rsid w:val="00BD101B"/>
    <w:rsid w:val="00BD131C"/>
    <w:rsid w:val="00BD19D8"/>
    <w:rsid w:val="00BD5818"/>
    <w:rsid w:val="00BD630B"/>
    <w:rsid w:val="00BD7403"/>
    <w:rsid w:val="00BE2067"/>
    <w:rsid w:val="00BE2468"/>
    <w:rsid w:val="00BE4124"/>
    <w:rsid w:val="00BE44A9"/>
    <w:rsid w:val="00BE5427"/>
    <w:rsid w:val="00BE702E"/>
    <w:rsid w:val="00BE75D0"/>
    <w:rsid w:val="00BF0877"/>
    <w:rsid w:val="00BF221D"/>
    <w:rsid w:val="00BF6334"/>
    <w:rsid w:val="00BF7107"/>
    <w:rsid w:val="00C001C2"/>
    <w:rsid w:val="00C008BF"/>
    <w:rsid w:val="00C0147B"/>
    <w:rsid w:val="00C02C98"/>
    <w:rsid w:val="00C036B6"/>
    <w:rsid w:val="00C042A7"/>
    <w:rsid w:val="00C062F9"/>
    <w:rsid w:val="00C06673"/>
    <w:rsid w:val="00C06973"/>
    <w:rsid w:val="00C07D35"/>
    <w:rsid w:val="00C11FA3"/>
    <w:rsid w:val="00C1309D"/>
    <w:rsid w:val="00C14142"/>
    <w:rsid w:val="00C146CE"/>
    <w:rsid w:val="00C14862"/>
    <w:rsid w:val="00C201B7"/>
    <w:rsid w:val="00C35348"/>
    <w:rsid w:val="00C35900"/>
    <w:rsid w:val="00C4416D"/>
    <w:rsid w:val="00C4471D"/>
    <w:rsid w:val="00C479F0"/>
    <w:rsid w:val="00C47F6D"/>
    <w:rsid w:val="00C51D57"/>
    <w:rsid w:val="00C53A9A"/>
    <w:rsid w:val="00C54CF6"/>
    <w:rsid w:val="00C64120"/>
    <w:rsid w:val="00C64D4D"/>
    <w:rsid w:val="00C658A2"/>
    <w:rsid w:val="00C6596A"/>
    <w:rsid w:val="00C669EE"/>
    <w:rsid w:val="00C66B99"/>
    <w:rsid w:val="00C7069C"/>
    <w:rsid w:val="00C73377"/>
    <w:rsid w:val="00C73FDD"/>
    <w:rsid w:val="00C74787"/>
    <w:rsid w:val="00C767CA"/>
    <w:rsid w:val="00C7774A"/>
    <w:rsid w:val="00C851C9"/>
    <w:rsid w:val="00C879F7"/>
    <w:rsid w:val="00C947BB"/>
    <w:rsid w:val="00C95AFB"/>
    <w:rsid w:val="00C9616F"/>
    <w:rsid w:val="00CA11A4"/>
    <w:rsid w:val="00CA1FB1"/>
    <w:rsid w:val="00CA4A7D"/>
    <w:rsid w:val="00CA6D83"/>
    <w:rsid w:val="00CA7303"/>
    <w:rsid w:val="00CB4474"/>
    <w:rsid w:val="00CB59DB"/>
    <w:rsid w:val="00CB6931"/>
    <w:rsid w:val="00CC1844"/>
    <w:rsid w:val="00CC1AEF"/>
    <w:rsid w:val="00CC2C5D"/>
    <w:rsid w:val="00CC3D92"/>
    <w:rsid w:val="00CC5171"/>
    <w:rsid w:val="00CC58D6"/>
    <w:rsid w:val="00CC5DD3"/>
    <w:rsid w:val="00CC5F9A"/>
    <w:rsid w:val="00CD409C"/>
    <w:rsid w:val="00CD784E"/>
    <w:rsid w:val="00CE0A7E"/>
    <w:rsid w:val="00CE424A"/>
    <w:rsid w:val="00CE4689"/>
    <w:rsid w:val="00CE4C29"/>
    <w:rsid w:val="00CE54E9"/>
    <w:rsid w:val="00CE6626"/>
    <w:rsid w:val="00CE7D8A"/>
    <w:rsid w:val="00CF0157"/>
    <w:rsid w:val="00CF0336"/>
    <w:rsid w:val="00CF18C3"/>
    <w:rsid w:val="00CF2936"/>
    <w:rsid w:val="00CF3E1D"/>
    <w:rsid w:val="00CF4151"/>
    <w:rsid w:val="00CF472B"/>
    <w:rsid w:val="00CF7FBD"/>
    <w:rsid w:val="00D03B84"/>
    <w:rsid w:val="00D11529"/>
    <w:rsid w:val="00D12310"/>
    <w:rsid w:val="00D202E0"/>
    <w:rsid w:val="00D2202F"/>
    <w:rsid w:val="00D220A9"/>
    <w:rsid w:val="00D22E67"/>
    <w:rsid w:val="00D239E9"/>
    <w:rsid w:val="00D30275"/>
    <w:rsid w:val="00D34AE2"/>
    <w:rsid w:val="00D37E99"/>
    <w:rsid w:val="00D403D3"/>
    <w:rsid w:val="00D40E31"/>
    <w:rsid w:val="00D41A4A"/>
    <w:rsid w:val="00D42173"/>
    <w:rsid w:val="00D4327F"/>
    <w:rsid w:val="00D449B5"/>
    <w:rsid w:val="00D47CA5"/>
    <w:rsid w:val="00D50A6C"/>
    <w:rsid w:val="00D511D1"/>
    <w:rsid w:val="00D522DD"/>
    <w:rsid w:val="00D53BED"/>
    <w:rsid w:val="00D54B4B"/>
    <w:rsid w:val="00D55A3E"/>
    <w:rsid w:val="00D568A6"/>
    <w:rsid w:val="00D60602"/>
    <w:rsid w:val="00D60E27"/>
    <w:rsid w:val="00D61D46"/>
    <w:rsid w:val="00D64A10"/>
    <w:rsid w:val="00D655C9"/>
    <w:rsid w:val="00D66A29"/>
    <w:rsid w:val="00D70AC6"/>
    <w:rsid w:val="00D71531"/>
    <w:rsid w:val="00D71919"/>
    <w:rsid w:val="00D72580"/>
    <w:rsid w:val="00D73FD8"/>
    <w:rsid w:val="00D745D2"/>
    <w:rsid w:val="00D75501"/>
    <w:rsid w:val="00D80185"/>
    <w:rsid w:val="00D808CE"/>
    <w:rsid w:val="00D81245"/>
    <w:rsid w:val="00D8148A"/>
    <w:rsid w:val="00D83F5A"/>
    <w:rsid w:val="00D849B6"/>
    <w:rsid w:val="00D84D0B"/>
    <w:rsid w:val="00D86BB5"/>
    <w:rsid w:val="00D90CBE"/>
    <w:rsid w:val="00D91EA6"/>
    <w:rsid w:val="00D92D26"/>
    <w:rsid w:val="00D95675"/>
    <w:rsid w:val="00D95B55"/>
    <w:rsid w:val="00D95CC0"/>
    <w:rsid w:val="00D979AE"/>
    <w:rsid w:val="00D97FBB"/>
    <w:rsid w:val="00DA3126"/>
    <w:rsid w:val="00DA3A48"/>
    <w:rsid w:val="00DA4D1C"/>
    <w:rsid w:val="00DA64BC"/>
    <w:rsid w:val="00DA6F94"/>
    <w:rsid w:val="00DB1BFF"/>
    <w:rsid w:val="00DB41E7"/>
    <w:rsid w:val="00DB48CE"/>
    <w:rsid w:val="00DB7239"/>
    <w:rsid w:val="00DC3DE5"/>
    <w:rsid w:val="00DC5B5B"/>
    <w:rsid w:val="00DC6E50"/>
    <w:rsid w:val="00DC77BE"/>
    <w:rsid w:val="00DC7880"/>
    <w:rsid w:val="00DD2400"/>
    <w:rsid w:val="00DD2DAC"/>
    <w:rsid w:val="00DD4B52"/>
    <w:rsid w:val="00DD588F"/>
    <w:rsid w:val="00DD73F0"/>
    <w:rsid w:val="00DD7F93"/>
    <w:rsid w:val="00DE151C"/>
    <w:rsid w:val="00DE56D9"/>
    <w:rsid w:val="00DE5E39"/>
    <w:rsid w:val="00DE7B4C"/>
    <w:rsid w:val="00DF1754"/>
    <w:rsid w:val="00DF284F"/>
    <w:rsid w:val="00DF3854"/>
    <w:rsid w:val="00DF48E6"/>
    <w:rsid w:val="00E00A8F"/>
    <w:rsid w:val="00E01890"/>
    <w:rsid w:val="00E0683E"/>
    <w:rsid w:val="00E06DD5"/>
    <w:rsid w:val="00E07F24"/>
    <w:rsid w:val="00E10A1C"/>
    <w:rsid w:val="00E12B15"/>
    <w:rsid w:val="00E17CB7"/>
    <w:rsid w:val="00E17DD7"/>
    <w:rsid w:val="00E21736"/>
    <w:rsid w:val="00E21DC6"/>
    <w:rsid w:val="00E23BD0"/>
    <w:rsid w:val="00E267C1"/>
    <w:rsid w:val="00E354BA"/>
    <w:rsid w:val="00E36551"/>
    <w:rsid w:val="00E42F8B"/>
    <w:rsid w:val="00E47FF9"/>
    <w:rsid w:val="00E52AC1"/>
    <w:rsid w:val="00E555B2"/>
    <w:rsid w:val="00E57DF5"/>
    <w:rsid w:val="00E656C7"/>
    <w:rsid w:val="00E71497"/>
    <w:rsid w:val="00E724D4"/>
    <w:rsid w:val="00E72B4A"/>
    <w:rsid w:val="00E73BBF"/>
    <w:rsid w:val="00E741E6"/>
    <w:rsid w:val="00E77C39"/>
    <w:rsid w:val="00E80991"/>
    <w:rsid w:val="00E81A29"/>
    <w:rsid w:val="00E83187"/>
    <w:rsid w:val="00E8673D"/>
    <w:rsid w:val="00E876CD"/>
    <w:rsid w:val="00E90FA8"/>
    <w:rsid w:val="00E92018"/>
    <w:rsid w:val="00E94AF5"/>
    <w:rsid w:val="00E9683D"/>
    <w:rsid w:val="00EA57C2"/>
    <w:rsid w:val="00EA6896"/>
    <w:rsid w:val="00EB0106"/>
    <w:rsid w:val="00EB14CA"/>
    <w:rsid w:val="00EB19C2"/>
    <w:rsid w:val="00EB2312"/>
    <w:rsid w:val="00EB336B"/>
    <w:rsid w:val="00EB33E5"/>
    <w:rsid w:val="00EB3DF6"/>
    <w:rsid w:val="00EB435C"/>
    <w:rsid w:val="00EB4965"/>
    <w:rsid w:val="00EB5478"/>
    <w:rsid w:val="00EB5CB9"/>
    <w:rsid w:val="00EC233B"/>
    <w:rsid w:val="00EC24B5"/>
    <w:rsid w:val="00EC3E4C"/>
    <w:rsid w:val="00EC4E9F"/>
    <w:rsid w:val="00EC67F9"/>
    <w:rsid w:val="00ED13BA"/>
    <w:rsid w:val="00ED2D77"/>
    <w:rsid w:val="00ED35FB"/>
    <w:rsid w:val="00ED7CCC"/>
    <w:rsid w:val="00ED7D07"/>
    <w:rsid w:val="00EE0454"/>
    <w:rsid w:val="00EE0A7A"/>
    <w:rsid w:val="00EE16BC"/>
    <w:rsid w:val="00EE1931"/>
    <w:rsid w:val="00EE3780"/>
    <w:rsid w:val="00EE3CA6"/>
    <w:rsid w:val="00EE434C"/>
    <w:rsid w:val="00EE596D"/>
    <w:rsid w:val="00EF26D9"/>
    <w:rsid w:val="00F0002F"/>
    <w:rsid w:val="00F0061A"/>
    <w:rsid w:val="00F008DE"/>
    <w:rsid w:val="00F008F7"/>
    <w:rsid w:val="00F024F1"/>
    <w:rsid w:val="00F0263B"/>
    <w:rsid w:val="00F051D9"/>
    <w:rsid w:val="00F05F29"/>
    <w:rsid w:val="00F06BEC"/>
    <w:rsid w:val="00F10125"/>
    <w:rsid w:val="00F128FA"/>
    <w:rsid w:val="00F12D5E"/>
    <w:rsid w:val="00F168BF"/>
    <w:rsid w:val="00F201BC"/>
    <w:rsid w:val="00F2419A"/>
    <w:rsid w:val="00F244FC"/>
    <w:rsid w:val="00F24502"/>
    <w:rsid w:val="00F26EF3"/>
    <w:rsid w:val="00F31FB6"/>
    <w:rsid w:val="00F324BF"/>
    <w:rsid w:val="00F338B5"/>
    <w:rsid w:val="00F37BE3"/>
    <w:rsid w:val="00F40319"/>
    <w:rsid w:val="00F4206E"/>
    <w:rsid w:val="00F43086"/>
    <w:rsid w:val="00F43B86"/>
    <w:rsid w:val="00F44C51"/>
    <w:rsid w:val="00F47983"/>
    <w:rsid w:val="00F50819"/>
    <w:rsid w:val="00F51639"/>
    <w:rsid w:val="00F51644"/>
    <w:rsid w:val="00F51978"/>
    <w:rsid w:val="00F5400D"/>
    <w:rsid w:val="00F549FC"/>
    <w:rsid w:val="00F557FB"/>
    <w:rsid w:val="00F65CA6"/>
    <w:rsid w:val="00F67623"/>
    <w:rsid w:val="00F67BA5"/>
    <w:rsid w:val="00F67E0D"/>
    <w:rsid w:val="00F709A1"/>
    <w:rsid w:val="00F70A79"/>
    <w:rsid w:val="00F71CCE"/>
    <w:rsid w:val="00F7232F"/>
    <w:rsid w:val="00F74D64"/>
    <w:rsid w:val="00F7742A"/>
    <w:rsid w:val="00F8097F"/>
    <w:rsid w:val="00F831EA"/>
    <w:rsid w:val="00F85EDE"/>
    <w:rsid w:val="00F864CB"/>
    <w:rsid w:val="00F9576C"/>
    <w:rsid w:val="00FA1692"/>
    <w:rsid w:val="00FA1795"/>
    <w:rsid w:val="00FA1A36"/>
    <w:rsid w:val="00FA5F36"/>
    <w:rsid w:val="00FB4DA9"/>
    <w:rsid w:val="00FB5166"/>
    <w:rsid w:val="00FB6810"/>
    <w:rsid w:val="00FC58D1"/>
    <w:rsid w:val="00FC72B9"/>
    <w:rsid w:val="00FC7DDE"/>
    <w:rsid w:val="00FD0031"/>
    <w:rsid w:val="00FD2DF6"/>
    <w:rsid w:val="00FD340C"/>
    <w:rsid w:val="00FD40CE"/>
    <w:rsid w:val="00FD6FC6"/>
    <w:rsid w:val="00FE029B"/>
    <w:rsid w:val="00FE1186"/>
    <w:rsid w:val="00FE190E"/>
    <w:rsid w:val="00FE4503"/>
    <w:rsid w:val="00FE63A8"/>
    <w:rsid w:val="00FE72DC"/>
    <w:rsid w:val="00FE77B3"/>
    <w:rsid w:val="00FF0665"/>
    <w:rsid w:val="00FF0925"/>
    <w:rsid w:val="00FF56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7985"/>
  <w15:chartTrackingRefBased/>
  <w15:docId w15:val="{89424006-ADBB-4C46-B1DD-85A109B1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rsid w:val="001811B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947BB"/>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C947BB"/>
    <w:rPr>
      <w:sz w:val="20"/>
      <w:szCs w:val="20"/>
    </w:rPr>
  </w:style>
  <w:style w:type="character" w:styleId="Rimandonotaapidipagina">
    <w:name w:val="footnote reference"/>
    <w:uiPriority w:val="99"/>
    <w:semiHidden/>
    <w:unhideWhenUsed/>
    <w:rsid w:val="00C947BB"/>
    <w:rPr>
      <w:vertAlign w:val="superscript"/>
    </w:rPr>
  </w:style>
  <w:style w:type="paragraph" w:styleId="NormaleWeb">
    <w:name w:val="Normal (Web)"/>
    <w:basedOn w:val="Normale"/>
    <w:uiPriority w:val="99"/>
    <w:unhideWhenUsed/>
    <w:rsid w:val="00C947BB"/>
    <w:pPr>
      <w:spacing w:before="100" w:beforeAutospacing="1" w:after="100" w:afterAutospacing="1" w:line="240" w:lineRule="auto"/>
    </w:pPr>
    <w:rPr>
      <w:rFonts w:ascii="Times New Roman" w:eastAsia="Times New Roman" w:hAnsi="Times New Roman"/>
      <w:sz w:val="24"/>
      <w:szCs w:val="24"/>
      <w:lang w:eastAsia="it-IT"/>
    </w:rPr>
  </w:style>
  <w:style w:type="character" w:styleId="Rimandocommento">
    <w:name w:val="annotation reference"/>
    <w:uiPriority w:val="99"/>
    <w:semiHidden/>
    <w:unhideWhenUsed/>
    <w:rsid w:val="005B5D7B"/>
    <w:rPr>
      <w:sz w:val="16"/>
      <w:szCs w:val="16"/>
    </w:rPr>
  </w:style>
  <w:style w:type="paragraph" w:styleId="Testocommento">
    <w:name w:val="annotation text"/>
    <w:basedOn w:val="Normale"/>
    <w:link w:val="TestocommentoCarattere"/>
    <w:uiPriority w:val="99"/>
    <w:unhideWhenUsed/>
    <w:rsid w:val="005B5D7B"/>
    <w:rPr>
      <w:sz w:val="20"/>
      <w:szCs w:val="20"/>
    </w:rPr>
  </w:style>
  <w:style w:type="character" w:customStyle="1" w:styleId="TestocommentoCarattere">
    <w:name w:val="Testo commento Carattere"/>
    <w:link w:val="Testocommento"/>
    <w:uiPriority w:val="99"/>
    <w:rsid w:val="005B5D7B"/>
    <w:rPr>
      <w:lang w:eastAsia="en-US"/>
    </w:rPr>
  </w:style>
  <w:style w:type="paragraph" w:styleId="Soggettocommento">
    <w:name w:val="annotation subject"/>
    <w:basedOn w:val="Testocommento"/>
    <w:next w:val="Testocommento"/>
    <w:link w:val="SoggettocommentoCarattere"/>
    <w:uiPriority w:val="99"/>
    <w:semiHidden/>
    <w:unhideWhenUsed/>
    <w:rsid w:val="005B5D7B"/>
    <w:rPr>
      <w:b/>
      <w:bCs/>
    </w:rPr>
  </w:style>
  <w:style w:type="character" w:customStyle="1" w:styleId="SoggettocommentoCarattere">
    <w:name w:val="Soggetto commento Carattere"/>
    <w:link w:val="Soggettocommento"/>
    <w:uiPriority w:val="99"/>
    <w:semiHidden/>
    <w:rsid w:val="005B5D7B"/>
    <w:rPr>
      <w:b/>
      <w:bCs/>
      <w:lang w:eastAsia="en-US"/>
    </w:rPr>
  </w:style>
  <w:style w:type="paragraph" w:styleId="Testofumetto">
    <w:name w:val="Balloon Text"/>
    <w:basedOn w:val="Normale"/>
    <w:link w:val="TestofumettoCarattere"/>
    <w:uiPriority w:val="99"/>
    <w:semiHidden/>
    <w:unhideWhenUsed/>
    <w:rsid w:val="005B5D7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B5D7B"/>
    <w:rPr>
      <w:rFonts w:ascii="Tahoma" w:hAnsi="Tahoma" w:cs="Tahoma"/>
      <w:sz w:val="16"/>
      <w:szCs w:val="16"/>
      <w:lang w:eastAsia="en-US"/>
    </w:rPr>
  </w:style>
  <w:style w:type="character" w:customStyle="1" w:styleId="Titolo1Carattere">
    <w:name w:val="Titolo 1 Carattere"/>
    <w:link w:val="Titolo1"/>
    <w:uiPriority w:val="9"/>
    <w:rsid w:val="001811B7"/>
    <w:rPr>
      <w:rFonts w:ascii="Cambria" w:eastAsia="Times New Roman" w:hAnsi="Cambria" w:cs="Times New Roman"/>
      <w:b/>
      <w:bCs/>
      <w:kern w:val="32"/>
      <w:sz w:val="32"/>
      <w:szCs w:val="32"/>
      <w:lang w:eastAsia="en-US"/>
    </w:rPr>
  </w:style>
  <w:style w:type="paragraph" w:styleId="Revisione">
    <w:name w:val="Revision"/>
    <w:hidden/>
    <w:uiPriority w:val="99"/>
    <w:semiHidden/>
    <w:rsid w:val="006A664C"/>
    <w:rPr>
      <w:sz w:val="22"/>
      <w:szCs w:val="22"/>
      <w:lang w:eastAsia="en-US"/>
    </w:rPr>
  </w:style>
  <w:style w:type="character" w:styleId="Testosegnaposto">
    <w:name w:val="Placeholder Text"/>
    <w:basedOn w:val="Carpredefinitoparagrafo"/>
    <w:uiPriority w:val="99"/>
    <w:semiHidden/>
    <w:rsid w:val="00F7232F"/>
    <w:rPr>
      <w:color w:val="808080"/>
    </w:rPr>
  </w:style>
  <w:style w:type="character" w:customStyle="1" w:styleId="fn">
    <w:name w:val="fn"/>
    <w:basedOn w:val="Carpredefinitoparagrafo"/>
    <w:rsid w:val="00C74787"/>
  </w:style>
  <w:style w:type="character" w:customStyle="1" w:styleId="Sottotitolo1">
    <w:name w:val="Sottotitolo1"/>
    <w:basedOn w:val="Carpredefinitoparagrafo"/>
    <w:rsid w:val="00C74787"/>
  </w:style>
  <w:style w:type="character" w:styleId="Collegamentoipertestuale">
    <w:name w:val="Hyperlink"/>
    <w:basedOn w:val="Carpredefinitoparagrafo"/>
    <w:uiPriority w:val="99"/>
    <w:semiHidden/>
    <w:unhideWhenUsed/>
    <w:rsid w:val="005823A9"/>
    <w:rPr>
      <w:color w:val="0000FF"/>
      <w:u w:val="single"/>
    </w:rPr>
  </w:style>
  <w:style w:type="paragraph" w:styleId="Paragrafoelenco">
    <w:name w:val="List Paragraph"/>
    <w:basedOn w:val="Normale"/>
    <w:uiPriority w:val="34"/>
    <w:qFormat/>
    <w:rsid w:val="00856E0A"/>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3795">
      <w:bodyDiv w:val="1"/>
      <w:marLeft w:val="0"/>
      <w:marRight w:val="0"/>
      <w:marTop w:val="0"/>
      <w:marBottom w:val="0"/>
      <w:divBdr>
        <w:top w:val="none" w:sz="0" w:space="0" w:color="auto"/>
        <w:left w:val="none" w:sz="0" w:space="0" w:color="auto"/>
        <w:bottom w:val="none" w:sz="0" w:space="0" w:color="auto"/>
        <w:right w:val="none" w:sz="0" w:space="0" w:color="auto"/>
      </w:divBdr>
    </w:div>
    <w:div w:id="223830718">
      <w:bodyDiv w:val="1"/>
      <w:marLeft w:val="0"/>
      <w:marRight w:val="0"/>
      <w:marTop w:val="0"/>
      <w:marBottom w:val="0"/>
      <w:divBdr>
        <w:top w:val="none" w:sz="0" w:space="0" w:color="auto"/>
        <w:left w:val="none" w:sz="0" w:space="0" w:color="auto"/>
        <w:bottom w:val="none" w:sz="0" w:space="0" w:color="auto"/>
        <w:right w:val="none" w:sz="0" w:space="0" w:color="auto"/>
      </w:divBdr>
    </w:div>
    <w:div w:id="651258663">
      <w:bodyDiv w:val="1"/>
      <w:marLeft w:val="0"/>
      <w:marRight w:val="0"/>
      <w:marTop w:val="0"/>
      <w:marBottom w:val="0"/>
      <w:divBdr>
        <w:top w:val="none" w:sz="0" w:space="0" w:color="auto"/>
        <w:left w:val="none" w:sz="0" w:space="0" w:color="auto"/>
        <w:bottom w:val="none" w:sz="0" w:space="0" w:color="auto"/>
        <w:right w:val="none" w:sz="0" w:space="0" w:color="auto"/>
      </w:divBdr>
    </w:div>
    <w:div w:id="9963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University_of_Washington_Pres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6C42-B2EC-49A1-B74F-E5902832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4636</TotalTime>
  <Pages>1</Pages>
  <Words>7092</Words>
  <Characters>42979</Characters>
  <Application>Microsoft Office Word</Application>
  <DocSecurity>0</DocSecurity>
  <Lines>565</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D'Alterio</dc:creator>
  <cp:keywords/>
  <cp:lastModifiedBy>Gianluca</cp:lastModifiedBy>
  <cp:revision>455</cp:revision>
  <dcterms:created xsi:type="dcterms:W3CDTF">2019-03-02T09:49:00Z</dcterms:created>
  <dcterms:modified xsi:type="dcterms:W3CDTF">2020-05-18T22:45:00Z</dcterms:modified>
</cp:coreProperties>
</file>